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2A" w:rsidRPr="00A82B2A" w:rsidRDefault="00A82B2A" w:rsidP="00A82B2A">
      <w:pPr>
        <w:spacing w:after="0" w:line="240" w:lineRule="auto"/>
        <w:jc w:val="both"/>
        <w:rPr>
          <w:rFonts w:ascii="Calibri" w:eastAsia="Times New Roman" w:hAnsi="Calibri" w:cs="Arial"/>
          <w:b/>
          <w:bCs/>
          <w:sz w:val="36"/>
          <w:szCs w:val="36"/>
          <w:lang w:val="en-US" w:eastAsia="nl-NL"/>
        </w:rPr>
      </w:pPr>
      <w:bookmarkStart w:id="0" w:name="_GoBack"/>
      <w:bookmarkEnd w:id="0"/>
      <w:r w:rsidRPr="00A82B2A">
        <w:rPr>
          <w:rFonts w:ascii="Calibri" w:eastAsia="Times New Roman" w:hAnsi="Calibri" w:cs="Arial"/>
          <w:b/>
          <w:bCs/>
          <w:sz w:val="36"/>
          <w:szCs w:val="36"/>
          <w:lang w:val="en-US" w:eastAsia="nl-NL"/>
        </w:rPr>
        <w:t xml:space="preserve">Supplementary information </w:t>
      </w:r>
    </w:p>
    <w:p w:rsidR="00A82B2A" w:rsidRPr="00A82B2A" w:rsidRDefault="00A82B2A" w:rsidP="00A82B2A">
      <w:pPr>
        <w:spacing w:after="0" w:line="240" w:lineRule="auto"/>
        <w:jc w:val="both"/>
        <w:rPr>
          <w:rFonts w:ascii="Calibri" w:eastAsia="Times New Roman" w:hAnsi="Calibri" w:cs="Arial"/>
          <w:b/>
          <w:bCs/>
          <w:vanish/>
          <w:szCs w:val="24"/>
          <w:lang w:val="en-US" w:eastAsia="nl-NL"/>
        </w:rPr>
      </w:pPr>
      <w:r w:rsidRPr="00A82B2A">
        <w:rPr>
          <w:rFonts w:ascii="Calibri" w:eastAsia="Times New Roman" w:hAnsi="Calibri" w:cs="Arial"/>
          <w:b/>
          <w:bCs/>
          <w:vanish/>
          <w:szCs w:val="24"/>
          <w:lang w:val="en-US" w:eastAsia="nl-NL"/>
        </w:rPr>
        <w:t>5.2</w:t>
      </w:r>
    </w:p>
    <w:p w:rsidR="00A82B2A" w:rsidRPr="00A82B2A" w:rsidRDefault="00A82B2A" w:rsidP="00A82B2A">
      <w:pPr>
        <w:spacing w:after="0" w:line="240" w:lineRule="auto"/>
        <w:ind w:left="705"/>
        <w:jc w:val="both"/>
        <w:rPr>
          <w:rFonts w:ascii="Calibri" w:eastAsia="Times New Roman" w:hAnsi="Calibri" w:cs="Arial"/>
          <w:b/>
          <w:bCs/>
          <w:vanish/>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BD1959">
      <w:pPr>
        <w:rPr>
          <w:rFonts w:cs="Times New Roman"/>
          <w:sz w:val="24"/>
          <w:szCs w:val="24"/>
          <w:lang w:val="en-US"/>
        </w:rPr>
      </w:pPr>
      <w:r>
        <w:rPr>
          <w:rFonts w:ascii="Calibri" w:eastAsia="Times New Roman" w:hAnsi="Calibri" w:cs="Arial"/>
          <w:sz w:val="24"/>
          <w:szCs w:val="24"/>
          <w:lang w:val="en-US" w:eastAsia="nl-NL"/>
        </w:rPr>
        <w:t>The panels used for MRD and LSC are listed in Table S1. Four tubes are used MRD while t</w:t>
      </w:r>
      <w:r>
        <w:rPr>
          <w:rFonts w:cs="Times New Roman"/>
          <w:sz w:val="24"/>
          <w:szCs w:val="24"/>
          <w:lang w:val="en-US"/>
        </w:rPr>
        <w:t>ube 5 is the single LSC tube, which has 6 different antibodies in the PE channel (for details of the used antibodies see table of materials.</w:t>
      </w:r>
    </w:p>
    <w:p w:rsidR="00BD1959" w:rsidRPr="003A5A1A" w:rsidRDefault="00BD1959" w:rsidP="00BD1959">
      <w:pPr>
        <w:pStyle w:val="NoSpacing"/>
        <w:rPr>
          <w:rFonts w:cs="Times New Roman"/>
          <w:b/>
          <w:sz w:val="24"/>
          <w:szCs w:val="24"/>
          <w:lang w:val="en-US"/>
        </w:rPr>
      </w:pPr>
      <w:r w:rsidRPr="003A5A1A">
        <w:rPr>
          <w:b/>
          <w:sz w:val="24"/>
          <w:szCs w:val="24"/>
          <w:lang w:val="en-US"/>
        </w:rPr>
        <w:t>Table S1.</w:t>
      </w:r>
      <w:r w:rsidRPr="003A5A1A">
        <w:rPr>
          <w:rFonts w:cs="Times New Roman"/>
          <w:b/>
          <w:sz w:val="24"/>
          <w:szCs w:val="24"/>
          <w:lang w:val="en-US"/>
        </w:rPr>
        <w:t xml:space="preserve"> Standard </w:t>
      </w:r>
      <w:proofErr w:type="spellStart"/>
      <w:r w:rsidRPr="003A5A1A">
        <w:rPr>
          <w:rFonts w:cs="Times New Roman"/>
          <w:b/>
          <w:sz w:val="24"/>
          <w:szCs w:val="24"/>
          <w:lang w:val="en-US"/>
        </w:rPr>
        <w:t>MoAb</w:t>
      </w:r>
      <w:proofErr w:type="spellEnd"/>
      <w:r w:rsidRPr="003A5A1A">
        <w:rPr>
          <w:rFonts w:cs="Times New Roman"/>
          <w:b/>
          <w:sz w:val="24"/>
          <w:szCs w:val="24"/>
          <w:lang w:val="en-US"/>
        </w:rPr>
        <w:t xml:space="preserve"> panels and dilutions used in this protocol</w:t>
      </w:r>
    </w:p>
    <w:p w:rsidR="00BD1959" w:rsidRDefault="00BD1959" w:rsidP="00A82B2A">
      <w:pPr>
        <w:spacing w:after="0" w:line="240" w:lineRule="auto"/>
        <w:jc w:val="both"/>
        <w:rPr>
          <w:rFonts w:ascii="Calibri" w:eastAsia="Times New Roman" w:hAnsi="Calibri" w:cs="Arial"/>
          <w:sz w:val="24"/>
          <w:szCs w:val="24"/>
          <w:lang w:val="en-US" w:eastAsia="nl-NL"/>
        </w:rPr>
      </w:pPr>
      <w:r>
        <w:rPr>
          <w:rFonts w:cs="Times New Roman"/>
          <w:noProof/>
          <w:sz w:val="24"/>
          <w:szCs w:val="24"/>
          <w:lang w:eastAsia="nl-NL"/>
        </w:rPr>
        <w:drawing>
          <wp:anchor distT="0" distB="0" distL="114300" distR="114300" simplePos="0" relativeHeight="251666432" behindDoc="0" locked="0" layoutInCell="1" allowOverlap="1" wp14:anchorId="2CEB34E9" wp14:editId="56598CD5">
            <wp:simplePos x="0" y="0"/>
            <wp:positionH relativeFrom="column">
              <wp:posOffset>-765175</wp:posOffset>
            </wp:positionH>
            <wp:positionV relativeFrom="paragraph">
              <wp:posOffset>41684</wp:posOffset>
            </wp:positionV>
            <wp:extent cx="7424420" cy="1914525"/>
            <wp:effectExtent l="0" t="0" r="508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tif"/>
                    <pic:cNvPicPr/>
                  </pic:nvPicPr>
                  <pic:blipFill rotWithShape="1">
                    <a:blip r:embed="rId6">
                      <a:extLst>
                        <a:ext uri="{28A0092B-C50C-407E-A947-70E740481C1C}">
                          <a14:useLocalDpi xmlns:a14="http://schemas.microsoft.com/office/drawing/2010/main" val="0"/>
                        </a:ext>
                      </a:extLst>
                    </a:blip>
                    <a:srcRect t="39229" b="26391"/>
                    <a:stretch/>
                  </pic:blipFill>
                  <pic:spPr bwMode="auto">
                    <a:xfrm>
                      <a:off x="0" y="0"/>
                      <a:ext cx="7424420"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sz w:val="24"/>
          <w:szCs w:val="24"/>
          <w:lang w:val="en-US" w:eastAsia="nl-NL"/>
        </w:rPr>
      </w:pPr>
    </w:p>
    <w:p w:rsidR="00BD1959" w:rsidRDefault="00BD1959" w:rsidP="00BD1959">
      <w:pPr>
        <w:spacing w:after="0" w:line="240" w:lineRule="auto"/>
        <w:jc w:val="both"/>
        <w:rPr>
          <w:rFonts w:ascii="Calibri" w:eastAsia="Times New Roman" w:hAnsi="Calibri" w:cs="Arial"/>
          <w:b/>
          <w:sz w:val="24"/>
          <w:szCs w:val="24"/>
          <w:lang w:val="en-US" w:eastAsia="nl-NL"/>
        </w:rPr>
      </w:pPr>
    </w:p>
    <w:p w:rsidR="00BD1959" w:rsidRPr="00A82B2A" w:rsidRDefault="00BD1959" w:rsidP="00BD1959">
      <w:pPr>
        <w:spacing w:after="0" w:line="240" w:lineRule="auto"/>
        <w:jc w:val="both"/>
        <w:rPr>
          <w:rFonts w:ascii="Calibri" w:eastAsia="Times New Roman" w:hAnsi="Calibri" w:cs="Arial"/>
          <w:b/>
          <w:sz w:val="24"/>
          <w:szCs w:val="24"/>
          <w:lang w:val="en-US" w:eastAsia="nl-NL"/>
        </w:rPr>
      </w:pPr>
      <w:r>
        <w:rPr>
          <w:rFonts w:ascii="Calibri" w:eastAsia="Times New Roman" w:hAnsi="Calibri" w:cs="Arial"/>
          <w:b/>
          <w:sz w:val="24"/>
          <w:szCs w:val="24"/>
          <w:lang w:val="en-US" w:eastAsia="nl-NL"/>
        </w:rPr>
        <w:t>G</w:t>
      </w:r>
      <w:r w:rsidRPr="00A82B2A">
        <w:rPr>
          <w:rFonts w:ascii="Calibri" w:eastAsia="Times New Roman" w:hAnsi="Calibri" w:cs="Arial"/>
          <w:b/>
          <w:sz w:val="24"/>
          <w:szCs w:val="24"/>
          <w:lang w:val="en-US" w:eastAsia="nl-NL"/>
        </w:rPr>
        <w:t>uidelines for defining LAIPs at diagnosis</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The quality of a LAIP for MRD detection depends on its: </w:t>
      </w:r>
    </w:p>
    <w:p w:rsidR="00A82B2A" w:rsidRPr="00A82B2A" w:rsidRDefault="00A82B2A" w:rsidP="00A82B2A">
      <w:pPr>
        <w:spacing w:after="0" w:line="240" w:lineRule="auto"/>
        <w:jc w:val="both"/>
        <w:rPr>
          <w:rFonts w:ascii="Calibri" w:eastAsia="Times New Roman" w:hAnsi="Calibri" w:cs="Arial"/>
          <w:i/>
          <w:sz w:val="24"/>
          <w:szCs w:val="24"/>
          <w:lang w:val="en-US" w:eastAsia="nl-NL"/>
        </w:rPr>
      </w:pPr>
      <w:r w:rsidRPr="00A82B2A">
        <w:rPr>
          <w:rFonts w:ascii="Calibri" w:eastAsia="Times New Roman" w:hAnsi="Calibri" w:cs="Arial"/>
          <w:i/>
          <w:sz w:val="24"/>
          <w:szCs w:val="24"/>
          <w:lang w:val="en-US" w:eastAsia="nl-NL"/>
        </w:rPr>
        <w:t>Specificity</w:t>
      </w:r>
    </w:p>
    <w:p w:rsid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The specificity depends on the percentage of LAIP expression on </w:t>
      </w:r>
      <w:r w:rsidRPr="00A82B2A">
        <w:rPr>
          <w:rFonts w:ascii="Calibri" w:eastAsia="Times New Roman" w:hAnsi="Calibri" w:cs="Arial"/>
          <w:b/>
          <w:bCs/>
          <w:sz w:val="24"/>
          <w:szCs w:val="24"/>
          <w:lang w:val="en-US" w:eastAsia="nl-NL"/>
        </w:rPr>
        <w:t xml:space="preserve">normal </w:t>
      </w:r>
      <w:r w:rsidRPr="00A82B2A">
        <w:rPr>
          <w:rFonts w:ascii="Calibri" w:eastAsia="Times New Roman" w:hAnsi="Calibri" w:cs="Arial"/>
          <w:sz w:val="24"/>
          <w:szCs w:val="24"/>
          <w:lang w:val="en-US" w:eastAsia="nl-NL"/>
        </w:rPr>
        <w:t xml:space="preserve">cells (preferably established on normal cells at time points similar to the time points used to establish MRD during/after therapy).  A high specificity can be achieved by including primitive markers (CD34, CD133 and CD117; </w:t>
      </w:r>
      <w:r w:rsidRPr="00A82B2A">
        <w:rPr>
          <w:rFonts w:ascii="Calibri" w:eastAsia="Times New Roman" w:hAnsi="Calibri" w:cs="Arial"/>
          <w:b/>
          <w:sz w:val="24"/>
          <w:szCs w:val="24"/>
          <w:lang w:val="en-US" w:eastAsia="nl-NL"/>
        </w:rPr>
        <w:t xml:space="preserve">Figure </w:t>
      </w:r>
      <w:r w:rsidR="004646FB">
        <w:rPr>
          <w:rFonts w:ascii="Calibri" w:eastAsia="Times New Roman" w:hAnsi="Calibri" w:cs="Arial"/>
          <w:b/>
          <w:sz w:val="24"/>
          <w:szCs w:val="24"/>
          <w:lang w:val="en-US" w:eastAsia="nl-NL"/>
        </w:rPr>
        <w:t>S1</w:t>
      </w:r>
      <w:r w:rsidRPr="00A82B2A">
        <w:rPr>
          <w:rFonts w:ascii="Calibri" w:eastAsia="Times New Roman" w:hAnsi="Calibri" w:cs="Arial"/>
          <w:sz w:val="24"/>
          <w:szCs w:val="24"/>
          <w:lang w:val="en-US" w:eastAsia="nl-NL"/>
        </w:rPr>
        <w:t xml:space="preserve">) if present on AML. In most cases LAIP expression on normal white blood cells is &lt;0.1%. </w:t>
      </w:r>
    </w:p>
    <w:p w:rsidR="004646FB" w:rsidRDefault="00A27F70" w:rsidP="00A82B2A">
      <w:pPr>
        <w:spacing w:after="0" w:line="240" w:lineRule="auto"/>
        <w:jc w:val="both"/>
        <w:rPr>
          <w:rFonts w:ascii="Calibri" w:eastAsia="Times New Roman" w:hAnsi="Calibri" w:cs="Arial"/>
          <w:sz w:val="24"/>
          <w:szCs w:val="24"/>
          <w:lang w:val="en-US" w:eastAsia="nl-NL"/>
        </w:rPr>
      </w:pPr>
      <w:r>
        <w:rPr>
          <w:rFonts w:ascii="Calibri" w:eastAsia="Times New Roman" w:hAnsi="Calibri" w:cs="Arial"/>
          <w:noProof/>
          <w:sz w:val="24"/>
          <w:szCs w:val="24"/>
          <w:lang w:eastAsia="nl-NL"/>
        </w:rPr>
        <w:drawing>
          <wp:anchor distT="0" distB="0" distL="114300" distR="114300" simplePos="0" relativeHeight="251658240" behindDoc="0" locked="0" layoutInCell="1" allowOverlap="1" wp14:anchorId="1CE4271B" wp14:editId="77BCED5A">
            <wp:simplePos x="0" y="0"/>
            <wp:positionH relativeFrom="column">
              <wp:posOffset>-25400</wp:posOffset>
            </wp:positionH>
            <wp:positionV relativeFrom="paragraph">
              <wp:posOffset>59055</wp:posOffset>
            </wp:positionV>
            <wp:extent cx="4234815" cy="3089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4815" cy="3089275"/>
                    </a:xfrm>
                    <a:prstGeom prst="rect">
                      <a:avLst/>
                    </a:prstGeom>
                    <a:noFill/>
                  </pic:spPr>
                </pic:pic>
              </a:graphicData>
            </a:graphic>
            <wp14:sizeRelH relativeFrom="page">
              <wp14:pctWidth>0</wp14:pctWidth>
            </wp14:sizeRelH>
            <wp14:sizeRelV relativeFrom="page">
              <wp14:pctHeight>0</wp14:pctHeight>
            </wp14:sizeRelV>
          </wp:anchor>
        </w:drawing>
      </w: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4646FB" w:rsidP="00A82B2A">
      <w:pPr>
        <w:spacing w:after="0" w:line="240" w:lineRule="auto"/>
        <w:jc w:val="both"/>
        <w:rPr>
          <w:rFonts w:ascii="Calibri" w:eastAsia="Times New Roman" w:hAnsi="Calibri" w:cs="Arial"/>
          <w:sz w:val="24"/>
          <w:szCs w:val="24"/>
          <w:lang w:val="en-US" w:eastAsia="nl-NL"/>
        </w:rPr>
      </w:pPr>
    </w:p>
    <w:p w:rsidR="004646FB" w:rsidRDefault="00A27F70" w:rsidP="00A82B2A">
      <w:pPr>
        <w:spacing w:after="0" w:line="240" w:lineRule="auto"/>
        <w:jc w:val="both"/>
        <w:rPr>
          <w:rFonts w:ascii="Calibri" w:eastAsia="Times New Roman" w:hAnsi="Calibri" w:cs="Arial"/>
          <w:b/>
          <w:sz w:val="24"/>
          <w:szCs w:val="24"/>
          <w:lang w:val="en-US" w:eastAsia="nl-NL"/>
        </w:rPr>
      </w:pPr>
      <w:r>
        <w:rPr>
          <w:rFonts w:ascii="Calibri" w:eastAsia="Times New Roman" w:hAnsi="Calibri" w:cs="Arial"/>
          <w:b/>
          <w:sz w:val="24"/>
          <w:szCs w:val="24"/>
          <w:lang w:val="en-US" w:eastAsia="nl-NL"/>
        </w:rPr>
        <w:t>F</w:t>
      </w:r>
      <w:r w:rsidR="004646FB">
        <w:rPr>
          <w:rFonts w:ascii="Calibri" w:eastAsia="Times New Roman" w:hAnsi="Calibri" w:cs="Arial"/>
          <w:b/>
          <w:sz w:val="24"/>
          <w:szCs w:val="24"/>
          <w:lang w:val="en-US" w:eastAsia="nl-NL"/>
        </w:rPr>
        <w:t>igure S1: Gating of the primitive markers.</w:t>
      </w:r>
    </w:p>
    <w:p w:rsidR="004646FB" w:rsidRPr="004646FB" w:rsidRDefault="004646FB" w:rsidP="00A82B2A">
      <w:pPr>
        <w:spacing w:after="0" w:line="240" w:lineRule="auto"/>
        <w:jc w:val="both"/>
        <w:rPr>
          <w:rFonts w:ascii="Calibri" w:eastAsia="Times New Roman" w:hAnsi="Calibri" w:cs="Arial"/>
          <w:sz w:val="24"/>
          <w:szCs w:val="24"/>
          <w:lang w:val="en-US" w:eastAsia="nl-NL"/>
        </w:rPr>
      </w:pPr>
      <w:r w:rsidRPr="004646FB">
        <w:rPr>
          <w:rFonts w:ascii="Calibri" w:eastAsia="Times New Roman" w:hAnsi="Calibri" w:cs="Arial"/>
          <w:sz w:val="24"/>
          <w:szCs w:val="24"/>
          <w:lang w:val="en-US" w:eastAsia="nl-NL"/>
        </w:rPr>
        <w:t>Lymphocytes</w:t>
      </w:r>
      <w:r w:rsidR="00924849">
        <w:rPr>
          <w:rFonts w:ascii="Calibri" w:eastAsia="Times New Roman" w:hAnsi="Calibri" w:cs="Arial"/>
          <w:sz w:val="24"/>
          <w:szCs w:val="24"/>
          <w:lang w:val="en-US" w:eastAsia="nl-NL"/>
        </w:rPr>
        <w:t xml:space="preserve"> (green)</w:t>
      </w:r>
      <w:r w:rsidRPr="004646FB">
        <w:rPr>
          <w:rFonts w:ascii="Calibri" w:eastAsia="Times New Roman" w:hAnsi="Calibri" w:cs="Arial"/>
          <w:sz w:val="24"/>
          <w:szCs w:val="24"/>
          <w:lang w:val="en-US" w:eastAsia="nl-NL"/>
        </w:rPr>
        <w:t xml:space="preserve"> </w:t>
      </w:r>
      <w:r w:rsidR="00924849">
        <w:rPr>
          <w:rFonts w:ascii="Calibri" w:eastAsia="Times New Roman" w:hAnsi="Calibri" w:cs="Arial"/>
          <w:sz w:val="24"/>
          <w:szCs w:val="24"/>
          <w:lang w:val="en-US" w:eastAsia="nl-NL"/>
        </w:rPr>
        <w:t>are used as an internal control to distinguish from</w:t>
      </w:r>
      <w:r w:rsidRPr="004646FB">
        <w:rPr>
          <w:rFonts w:ascii="Calibri" w:eastAsia="Times New Roman" w:hAnsi="Calibri" w:cs="Arial"/>
          <w:sz w:val="24"/>
          <w:szCs w:val="24"/>
          <w:lang w:val="en-US" w:eastAsia="nl-NL"/>
        </w:rPr>
        <w:t xml:space="preserve"> myeloid populations</w:t>
      </w:r>
    </w:p>
    <w:p w:rsidR="004646FB" w:rsidRDefault="004646FB" w:rsidP="00A82B2A">
      <w:pPr>
        <w:spacing w:after="0" w:line="240" w:lineRule="auto"/>
        <w:jc w:val="both"/>
        <w:rPr>
          <w:rFonts w:ascii="Calibri" w:eastAsia="Times New Roman" w:hAnsi="Calibri" w:cs="Arial"/>
          <w:sz w:val="24"/>
          <w:szCs w:val="24"/>
          <w:lang w:val="en-US" w:eastAsia="nl-NL"/>
        </w:rPr>
      </w:pPr>
    </w:p>
    <w:p w:rsidR="00A82B2A" w:rsidRPr="00A82B2A" w:rsidRDefault="00A82B2A" w:rsidP="00A82B2A">
      <w:pPr>
        <w:spacing w:after="0" w:line="240" w:lineRule="auto"/>
        <w:jc w:val="both"/>
        <w:rPr>
          <w:rFonts w:ascii="Calibri" w:eastAsia="Times New Roman" w:hAnsi="Calibri" w:cs="Arial"/>
          <w:i/>
          <w:sz w:val="24"/>
          <w:szCs w:val="24"/>
          <w:lang w:val="en-US" w:eastAsia="nl-NL"/>
        </w:rPr>
      </w:pPr>
      <w:r w:rsidRPr="00A82B2A">
        <w:rPr>
          <w:rFonts w:ascii="Calibri" w:eastAsia="Times New Roman" w:hAnsi="Calibri" w:cs="Arial"/>
          <w:i/>
          <w:sz w:val="24"/>
          <w:szCs w:val="24"/>
          <w:lang w:val="en-US" w:eastAsia="nl-NL"/>
        </w:rPr>
        <w:t xml:space="preserve">Sensitivity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The sensitivity of MRD detection depends among others on the percentage of LAIP expression on the leukemic blast population at diagnosis and the number of cells </w:t>
      </w:r>
      <w:proofErr w:type="spellStart"/>
      <w:r w:rsidRPr="00A82B2A">
        <w:rPr>
          <w:rFonts w:ascii="Calibri" w:eastAsia="Times New Roman" w:hAnsi="Calibri" w:cs="Arial"/>
          <w:sz w:val="24"/>
          <w:szCs w:val="24"/>
          <w:lang w:val="en-US" w:eastAsia="nl-NL"/>
        </w:rPr>
        <w:t>analysed</w:t>
      </w:r>
      <w:proofErr w:type="spellEnd"/>
      <w:r w:rsidRPr="00A82B2A">
        <w:rPr>
          <w:rFonts w:ascii="Calibri" w:eastAsia="Times New Roman" w:hAnsi="Calibri" w:cs="Arial"/>
          <w:sz w:val="24"/>
          <w:szCs w:val="24"/>
          <w:lang w:val="en-US" w:eastAsia="nl-NL"/>
        </w:rPr>
        <w:t xml:space="preserve">. For this reason only LAIPs which are expressed &gt;10% on the diagnosis leukemic blast population are considered, while the acquired number of cells at diagnosis </w:t>
      </w:r>
      <w:r w:rsidR="00120A80">
        <w:rPr>
          <w:rFonts w:ascii="Calibri" w:eastAsia="Times New Roman" w:hAnsi="Calibri" w:cs="Arial"/>
          <w:sz w:val="24"/>
          <w:szCs w:val="24"/>
          <w:lang w:val="en-US" w:eastAsia="nl-NL"/>
        </w:rPr>
        <w:t>are preferably</w:t>
      </w:r>
      <w:r w:rsidRPr="00A82B2A">
        <w:rPr>
          <w:rFonts w:ascii="Calibri" w:eastAsia="Times New Roman" w:hAnsi="Calibri" w:cs="Arial"/>
          <w:sz w:val="24"/>
          <w:szCs w:val="24"/>
          <w:lang w:val="en-US" w:eastAsia="nl-NL"/>
        </w:rPr>
        <w:t xml:space="preserve"> 100,000 cells.</w:t>
      </w:r>
    </w:p>
    <w:p w:rsidR="00BD1959" w:rsidRDefault="00BD1959" w:rsidP="00A82B2A">
      <w:pPr>
        <w:spacing w:after="0" w:line="240" w:lineRule="auto"/>
        <w:jc w:val="both"/>
        <w:rPr>
          <w:rFonts w:ascii="Calibri" w:eastAsia="Times New Roman" w:hAnsi="Calibri" w:cs="Arial"/>
          <w:i/>
          <w:sz w:val="24"/>
          <w:szCs w:val="24"/>
          <w:lang w:val="en-US" w:eastAsia="nl-NL"/>
        </w:rPr>
      </w:pPr>
    </w:p>
    <w:p w:rsidR="00A82B2A" w:rsidRPr="00A82B2A" w:rsidRDefault="00A82B2A" w:rsidP="00A82B2A">
      <w:pPr>
        <w:spacing w:after="0" w:line="240" w:lineRule="auto"/>
        <w:jc w:val="both"/>
        <w:rPr>
          <w:rFonts w:ascii="Calibri" w:eastAsia="Times New Roman" w:hAnsi="Calibri" w:cs="Arial"/>
          <w:i/>
          <w:sz w:val="24"/>
          <w:szCs w:val="24"/>
          <w:lang w:val="en-US" w:eastAsia="nl-NL"/>
        </w:rPr>
      </w:pPr>
      <w:r w:rsidRPr="00A82B2A">
        <w:rPr>
          <w:rFonts w:ascii="Calibri" w:eastAsia="Times New Roman" w:hAnsi="Calibri" w:cs="Arial"/>
          <w:i/>
          <w:sz w:val="24"/>
          <w:szCs w:val="24"/>
          <w:lang w:val="en-US" w:eastAsia="nl-NL"/>
        </w:rPr>
        <w:t>Stability</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LAIPs may undergo phenotypic shifts. During the disease, marker expression on AML may disappear, resulting in false-negativity. Especially dim expression of markers is susceptible for changes. For an overview see Zeijlemaker et al., Cytometry B </w:t>
      </w:r>
      <w:proofErr w:type="spellStart"/>
      <w:r w:rsidRPr="00A82B2A">
        <w:rPr>
          <w:rFonts w:ascii="Calibri" w:eastAsia="Times New Roman" w:hAnsi="Calibri" w:cs="Arial"/>
          <w:sz w:val="24"/>
          <w:szCs w:val="24"/>
          <w:lang w:val="en-US" w:eastAsia="nl-NL"/>
        </w:rPr>
        <w:t>Clin</w:t>
      </w:r>
      <w:proofErr w:type="spellEnd"/>
      <w:r w:rsidRPr="00A82B2A">
        <w:rPr>
          <w:rFonts w:ascii="Calibri" w:eastAsia="Times New Roman" w:hAnsi="Calibri" w:cs="Arial"/>
          <w:sz w:val="24"/>
          <w:szCs w:val="24"/>
          <w:lang w:val="en-US" w:eastAsia="nl-NL"/>
        </w:rPr>
        <w:t xml:space="preserve"> </w:t>
      </w:r>
      <w:proofErr w:type="spellStart"/>
      <w:r w:rsidRPr="00A82B2A">
        <w:rPr>
          <w:rFonts w:ascii="Calibri" w:eastAsia="Times New Roman" w:hAnsi="Calibri" w:cs="Arial"/>
          <w:sz w:val="24"/>
          <w:szCs w:val="24"/>
          <w:lang w:val="en-US" w:eastAsia="nl-NL"/>
        </w:rPr>
        <w:t>Cytom</w:t>
      </w:r>
      <w:proofErr w:type="spellEnd"/>
      <w:r w:rsidRPr="00A82B2A">
        <w:rPr>
          <w:rFonts w:ascii="Calibri" w:eastAsia="Times New Roman" w:hAnsi="Calibri" w:cs="Arial"/>
          <w:sz w:val="24"/>
          <w:szCs w:val="24"/>
          <w:lang w:val="en-US" w:eastAsia="nl-NL"/>
        </w:rPr>
        <w:t xml:space="preserve"> 2014, 86:3-14.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Taking into account the quantity of BM material commonly available, </w:t>
      </w:r>
      <w:proofErr w:type="spellStart"/>
      <w:r w:rsidRPr="00A82B2A">
        <w:rPr>
          <w:rFonts w:ascii="Calibri" w:eastAsia="Times New Roman" w:hAnsi="Calibri" w:cs="Arial"/>
          <w:sz w:val="24"/>
          <w:szCs w:val="24"/>
          <w:lang w:val="en-US" w:eastAsia="nl-NL"/>
        </w:rPr>
        <w:t>immunophenotypic</w:t>
      </w:r>
      <w:proofErr w:type="spellEnd"/>
      <w:r w:rsidRPr="00A82B2A">
        <w:rPr>
          <w:rFonts w:ascii="Calibri" w:eastAsia="Times New Roman" w:hAnsi="Calibri" w:cs="Arial"/>
          <w:sz w:val="24"/>
          <w:szCs w:val="24"/>
          <w:lang w:val="en-US" w:eastAsia="nl-NL"/>
        </w:rPr>
        <w:t xml:space="preserve"> MRD detection methods enable detection of 1 MRD cell in 10,000 normal cells when using LAIPs with high specificity, high sensitivity and high stability.</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 </w:t>
      </w:r>
    </w:p>
    <w:p w:rsidR="00BD1959" w:rsidRDefault="00BD1959" w:rsidP="00A82B2A">
      <w:pPr>
        <w:spacing w:after="0" w:line="240" w:lineRule="auto"/>
        <w:jc w:val="both"/>
        <w:rPr>
          <w:rFonts w:ascii="Calibri" w:eastAsia="Times New Roman" w:hAnsi="Calibri" w:cs="Arial"/>
          <w:b/>
          <w:bCs/>
          <w:i/>
          <w:iCs/>
          <w:sz w:val="24"/>
          <w:szCs w:val="24"/>
          <w:lang w:val="en-US" w:eastAsia="nl-NL"/>
        </w:rPr>
      </w:pP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b/>
          <w:bCs/>
          <w:i/>
          <w:iCs/>
          <w:sz w:val="24"/>
          <w:szCs w:val="24"/>
          <w:lang w:val="en-US" w:eastAsia="nl-NL"/>
        </w:rPr>
        <w:t>LAIPs with primitive markers</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LAIPs that include aberrant marker expression, combined with a primitive marker  and a (disease specific) myeloid marker usually have a high specificity.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ab/>
      </w:r>
      <w:r w:rsidRPr="00A82B2A">
        <w:rPr>
          <w:rFonts w:ascii="Calibri" w:eastAsia="Times New Roman" w:hAnsi="Calibri" w:cs="Arial"/>
          <w:sz w:val="24"/>
          <w:szCs w:val="24"/>
          <w:lang w:val="en-US" w:eastAsia="nl-NL"/>
        </w:rPr>
        <w:tab/>
        <w:t>Primitive markers are CD34, CD133 and CD117.</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ab/>
      </w:r>
      <w:r w:rsidRPr="00A82B2A">
        <w:rPr>
          <w:rFonts w:ascii="Calibri" w:eastAsia="Times New Roman" w:hAnsi="Calibri" w:cs="Arial"/>
          <w:sz w:val="24"/>
          <w:szCs w:val="24"/>
          <w:lang w:val="en-US" w:eastAsia="nl-NL"/>
        </w:rPr>
        <w:tab/>
        <w:t xml:space="preserve">Myeloid markers are CD13, CD33 and HLADR.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Markers that define a LAIP when combined with a primitive marker and a myeloid marker are:</w:t>
      </w:r>
    </w:p>
    <w:p w:rsidR="00A82B2A" w:rsidRPr="00BD1959" w:rsidRDefault="00A82B2A" w:rsidP="00BD1959">
      <w:pPr>
        <w:pStyle w:val="ListParagraph"/>
        <w:numPr>
          <w:ilvl w:val="0"/>
          <w:numId w:val="6"/>
        </w:num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sz w:val="24"/>
          <w:szCs w:val="24"/>
          <w:lang w:val="en-US" w:eastAsia="nl-NL"/>
        </w:rPr>
        <w:t>Expression of CD2, CD7, CD11b, CD15, CD19, CD22, CD56</w:t>
      </w:r>
    </w:p>
    <w:p w:rsidR="00A82B2A" w:rsidRPr="00BD1959" w:rsidRDefault="00A82B2A" w:rsidP="00BD1959">
      <w:pPr>
        <w:pStyle w:val="ListParagraph"/>
        <w:numPr>
          <w:ilvl w:val="0"/>
          <w:numId w:val="6"/>
        </w:num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sz w:val="24"/>
          <w:szCs w:val="24"/>
          <w:lang w:val="en-US" w:eastAsia="nl-NL"/>
        </w:rPr>
        <w:t>Absence of expression of CD13 (only when combined with HLADR+ or CD33+)</w:t>
      </w:r>
    </w:p>
    <w:p w:rsidR="00A82B2A" w:rsidRPr="00BD1959" w:rsidRDefault="00A82B2A" w:rsidP="00BD1959">
      <w:pPr>
        <w:pStyle w:val="ListParagraph"/>
        <w:numPr>
          <w:ilvl w:val="0"/>
          <w:numId w:val="6"/>
        </w:num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sz w:val="24"/>
          <w:szCs w:val="24"/>
          <w:lang w:val="en-US" w:eastAsia="nl-NL"/>
        </w:rPr>
        <w:t>Absence of expression of CD33 (only when combined with HLADR+ or CD13+)</w:t>
      </w:r>
    </w:p>
    <w:p w:rsidR="00A82B2A" w:rsidRPr="00BD1959" w:rsidRDefault="00A82B2A" w:rsidP="00BD1959">
      <w:pPr>
        <w:pStyle w:val="ListParagraph"/>
        <w:numPr>
          <w:ilvl w:val="0"/>
          <w:numId w:val="6"/>
        </w:num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sz w:val="24"/>
          <w:szCs w:val="24"/>
          <w:lang w:val="en-US" w:eastAsia="nl-NL"/>
        </w:rPr>
        <w:t xml:space="preserve">Absence of expression of HLADR (only when combined with CD13+ or CD33+, [in this case compared to CD34 or CD133, CD117 as primitive markers is less specific due to the </w:t>
      </w:r>
      <w:proofErr w:type="spellStart"/>
      <w:r w:rsidRPr="00BD1959">
        <w:rPr>
          <w:rFonts w:ascii="Calibri" w:eastAsia="Times New Roman" w:hAnsi="Calibri" w:cs="Arial"/>
          <w:sz w:val="24"/>
          <w:szCs w:val="24"/>
          <w:lang w:val="en-US" w:eastAsia="nl-NL"/>
        </w:rPr>
        <w:t>promyelocytes</w:t>
      </w:r>
      <w:proofErr w:type="spellEnd"/>
      <w:r w:rsidRPr="00BD1959">
        <w:rPr>
          <w:rFonts w:ascii="Calibri" w:eastAsia="Times New Roman" w:hAnsi="Calibri" w:cs="Arial"/>
          <w:sz w:val="24"/>
          <w:szCs w:val="24"/>
          <w:lang w:val="en-US" w:eastAsia="nl-NL"/>
        </w:rPr>
        <w:t xml:space="preserve"> present in a regenerating BM (use absence of CD15 to exclude the CD15 positive </w:t>
      </w:r>
      <w:proofErr w:type="spellStart"/>
      <w:r w:rsidRPr="00BD1959">
        <w:rPr>
          <w:rFonts w:ascii="Calibri" w:eastAsia="Times New Roman" w:hAnsi="Calibri" w:cs="Arial"/>
          <w:sz w:val="24"/>
          <w:szCs w:val="24"/>
          <w:lang w:val="en-US" w:eastAsia="nl-NL"/>
        </w:rPr>
        <w:t>promyelocytes</w:t>
      </w:r>
      <w:proofErr w:type="spellEnd"/>
      <w:r w:rsidRPr="00BD1959">
        <w:rPr>
          <w:rFonts w:ascii="Calibri" w:eastAsia="Times New Roman" w:hAnsi="Calibri" w:cs="Arial"/>
          <w:sz w:val="24"/>
          <w:szCs w:val="24"/>
          <w:lang w:val="en-US" w:eastAsia="nl-NL"/>
        </w:rPr>
        <w:t>])</w:t>
      </w:r>
    </w:p>
    <w:p w:rsidR="00120A80" w:rsidRDefault="00120A80" w:rsidP="00120A80">
      <w:pPr>
        <w:spacing w:after="0" w:line="240" w:lineRule="auto"/>
        <w:jc w:val="both"/>
        <w:rPr>
          <w:rFonts w:ascii="Calibri" w:eastAsia="Times New Roman" w:hAnsi="Calibri" w:cs="Arial"/>
          <w:sz w:val="24"/>
          <w:szCs w:val="24"/>
          <w:lang w:val="en-US" w:eastAsia="nl-NL"/>
        </w:rPr>
      </w:pPr>
    </w:p>
    <w:p w:rsidR="00120A80" w:rsidRDefault="00120A80" w:rsidP="00120A80">
      <w:pPr>
        <w:spacing w:after="0" w:line="240" w:lineRule="auto"/>
        <w:jc w:val="both"/>
        <w:rPr>
          <w:rFonts w:ascii="Calibri" w:eastAsia="Times New Roman" w:hAnsi="Calibri" w:cs="Arial"/>
          <w:sz w:val="24"/>
          <w:szCs w:val="24"/>
          <w:lang w:val="en-US" w:eastAsia="nl-NL"/>
        </w:rPr>
      </w:pPr>
      <w:r>
        <w:rPr>
          <w:rFonts w:ascii="Calibri" w:eastAsia="Times New Roman" w:hAnsi="Calibri" w:cs="Arial"/>
          <w:sz w:val="24"/>
          <w:szCs w:val="24"/>
          <w:lang w:val="en-US" w:eastAsia="nl-NL"/>
        </w:rPr>
        <w:t xml:space="preserve">Likely the number and nature of the marker set will change, The most recent recommendation is from the European </w:t>
      </w:r>
      <w:proofErr w:type="spellStart"/>
      <w:r>
        <w:rPr>
          <w:rFonts w:ascii="Calibri" w:eastAsia="Times New Roman" w:hAnsi="Calibri" w:cs="Arial"/>
          <w:sz w:val="24"/>
          <w:szCs w:val="24"/>
          <w:lang w:val="en-US" w:eastAsia="nl-NL"/>
        </w:rPr>
        <w:t>LeukemiaNet</w:t>
      </w:r>
      <w:proofErr w:type="spellEnd"/>
      <w:r>
        <w:rPr>
          <w:rFonts w:ascii="Calibri" w:eastAsia="Times New Roman" w:hAnsi="Calibri" w:cs="Arial"/>
          <w:sz w:val="24"/>
          <w:szCs w:val="24"/>
          <w:lang w:val="en-US" w:eastAsia="nl-NL"/>
        </w:rPr>
        <w:t xml:space="preserve"> MRD working party, which has defined a minimal set of markers to be used for MRD, </w:t>
      </w:r>
      <w:proofErr w:type="spellStart"/>
      <w:r>
        <w:rPr>
          <w:rFonts w:ascii="Calibri" w:eastAsia="Times New Roman" w:hAnsi="Calibri" w:cs="Arial"/>
          <w:sz w:val="24"/>
          <w:szCs w:val="24"/>
          <w:lang w:val="en-US" w:eastAsia="nl-NL"/>
        </w:rPr>
        <w:t>ie</w:t>
      </w:r>
      <w:proofErr w:type="spellEnd"/>
      <w:r>
        <w:rPr>
          <w:rFonts w:ascii="Calibri" w:eastAsia="Times New Roman" w:hAnsi="Calibri" w:cs="Arial"/>
          <w:sz w:val="24"/>
          <w:szCs w:val="24"/>
          <w:lang w:val="en-US" w:eastAsia="nl-NL"/>
        </w:rPr>
        <w:t xml:space="preserve"> </w:t>
      </w:r>
      <w:r w:rsidRPr="00A82B2A">
        <w:rPr>
          <w:rFonts w:ascii="Calibri" w:eastAsia="Times New Roman" w:hAnsi="Calibri" w:cs="Arial"/>
          <w:sz w:val="24"/>
          <w:szCs w:val="24"/>
          <w:lang w:val="en-US" w:eastAsia="nl-NL"/>
        </w:rPr>
        <w:t xml:space="preserve">CD7, CD11b, </w:t>
      </w:r>
      <w:r>
        <w:rPr>
          <w:rFonts w:ascii="Calibri" w:eastAsia="Times New Roman" w:hAnsi="Calibri" w:cs="Arial"/>
          <w:sz w:val="24"/>
          <w:szCs w:val="24"/>
          <w:lang w:val="en-US" w:eastAsia="nl-NL"/>
        </w:rPr>
        <w:t>CD13</w:t>
      </w:r>
      <w:r w:rsidRPr="00A82B2A">
        <w:rPr>
          <w:rFonts w:ascii="Calibri" w:eastAsia="Times New Roman" w:hAnsi="Calibri" w:cs="Arial"/>
          <w:sz w:val="24"/>
          <w:szCs w:val="24"/>
          <w:lang w:val="en-US" w:eastAsia="nl-NL"/>
        </w:rPr>
        <w:t>,</w:t>
      </w:r>
      <w:r>
        <w:rPr>
          <w:rFonts w:ascii="Calibri" w:eastAsia="Times New Roman" w:hAnsi="Calibri" w:cs="Arial"/>
          <w:sz w:val="24"/>
          <w:szCs w:val="24"/>
          <w:lang w:val="en-US" w:eastAsia="nl-NL"/>
        </w:rPr>
        <w:t xml:space="preserve"> </w:t>
      </w:r>
      <w:r w:rsidRPr="00A82B2A">
        <w:rPr>
          <w:rFonts w:ascii="Calibri" w:eastAsia="Times New Roman" w:hAnsi="Calibri" w:cs="Arial"/>
          <w:sz w:val="24"/>
          <w:szCs w:val="24"/>
          <w:lang w:val="en-US" w:eastAsia="nl-NL"/>
        </w:rPr>
        <w:t xml:space="preserve">CD15, CD19, </w:t>
      </w:r>
      <w:r>
        <w:rPr>
          <w:rFonts w:ascii="Calibri" w:eastAsia="Times New Roman" w:hAnsi="Calibri" w:cs="Arial"/>
          <w:sz w:val="24"/>
          <w:szCs w:val="24"/>
          <w:lang w:val="en-US" w:eastAsia="nl-NL"/>
        </w:rPr>
        <w:t xml:space="preserve">CD33, CD34, CD45, </w:t>
      </w:r>
      <w:r w:rsidRPr="00A82B2A">
        <w:rPr>
          <w:rFonts w:ascii="Calibri" w:eastAsia="Times New Roman" w:hAnsi="Calibri" w:cs="Arial"/>
          <w:sz w:val="24"/>
          <w:szCs w:val="24"/>
          <w:lang w:val="en-US" w:eastAsia="nl-NL"/>
        </w:rPr>
        <w:t>CD56</w:t>
      </w:r>
      <w:r>
        <w:rPr>
          <w:rFonts w:ascii="Calibri" w:eastAsia="Times New Roman" w:hAnsi="Calibri" w:cs="Arial"/>
          <w:sz w:val="24"/>
          <w:szCs w:val="24"/>
          <w:lang w:val="en-US" w:eastAsia="nl-NL"/>
        </w:rPr>
        <w:t>, CD117, HLA-DR.</w:t>
      </w:r>
    </w:p>
    <w:p w:rsidR="00120A80" w:rsidRDefault="00120A80" w:rsidP="00120A80">
      <w:pPr>
        <w:spacing w:after="0" w:line="240" w:lineRule="auto"/>
        <w:jc w:val="both"/>
        <w:rPr>
          <w:rFonts w:ascii="Calibri" w:eastAsia="Times New Roman" w:hAnsi="Calibri" w:cs="Arial"/>
          <w:sz w:val="24"/>
          <w:szCs w:val="24"/>
          <w:lang w:val="en-US" w:eastAsia="nl-NL"/>
        </w:rPr>
      </w:pPr>
      <w:r>
        <w:rPr>
          <w:rFonts w:ascii="Calibri" w:eastAsia="Times New Roman" w:hAnsi="Calibri" w:cs="Arial"/>
          <w:sz w:val="24"/>
          <w:szCs w:val="24"/>
          <w:lang w:val="en-US" w:eastAsia="nl-NL"/>
        </w:rPr>
        <w:t>In addition, for LAIPs without primitive markers (</w:t>
      </w:r>
      <w:proofErr w:type="spellStart"/>
      <w:r>
        <w:rPr>
          <w:rFonts w:ascii="Calibri" w:eastAsia="Times New Roman" w:hAnsi="Calibri" w:cs="Arial"/>
          <w:sz w:val="24"/>
          <w:szCs w:val="24"/>
          <w:lang w:val="en-US" w:eastAsia="nl-NL"/>
        </w:rPr>
        <w:t>seen</w:t>
      </w:r>
      <w:proofErr w:type="spellEnd"/>
      <w:r>
        <w:rPr>
          <w:rFonts w:ascii="Calibri" w:eastAsia="Times New Roman" w:hAnsi="Calibri" w:cs="Arial"/>
          <w:sz w:val="24"/>
          <w:szCs w:val="24"/>
          <w:lang w:val="en-US" w:eastAsia="nl-NL"/>
        </w:rPr>
        <w:t xml:space="preserve"> below) a tube is recommended that includes CD4, CD11b, CD14, CD64, apart from CD33, CD34, CD45 and HLA-DR.</w:t>
      </w:r>
    </w:p>
    <w:p w:rsidR="00120A80" w:rsidRPr="00A82B2A" w:rsidRDefault="00120A80" w:rsidP="00120A80">
      <w:pPr>
        <w:spacing w:after="0" w:line="240" w:lineRule="auto"/>
        <w:jc w:val="both"/>
        <w:rPr>
          <w:rFonts w:ascii="Calibri" w:eastAsia="Times New Roman" w:hAnsi="Calibri" w:cs="Arial"/>
          <w:sz w:val="24"/>
          <w:szCs w:val="24"/>
          <w:lang w:val="en-US" w:eastAsia="nl-NL"/>
        </w:rPr>
      </w:pPr>
    </w:p>
    <w:p w:rsidR="00A82B2A" w:rsidRPr="00A82B2A" w:rsidRDefault="00A82B2A" w:rsidP="00A82B2A">
      <w:pPr>
        <w:spacing w:after="0" w:line="240" w:lineRule="auto"/>
        <w:jc w:val="both"/>
        <w:rPr>
          <w:rFonts w:ascii="Calibri" w:eastAsia="Times New Roman" w:hAnsi="Calibri" w:cs="Arial"/>
          <w:sz w:val="24"/>
          <w:szCs w:val="24"/>
          <w:lang w:val="en-US" w:eastAsia="nl-NL"/>
        </w:rPr>
      </w:pPr>
    </w:p>
    <w:p w:rsidR="00BD1959" w:rsidRDefault="00BD1959">
      <w:pPr>
        <w:rPr>
          <w:rFonts w:ascii="Calibri" w:eastAsia="Times New Roman" w:hAnsi="Calibri" w:cs="Arial"/>
          <w:b/>
          <w:sz w:val="24"/>
          <w:szCs w:val="24"/>
          <w:lang w:val="en-US" w:eastAsia="nl-NL"/>
        </w:rPr>
      </w:pPr>
      <w:r>
        <w:rPr>
          <w:rFonts w:ascii="Calibri" w:eastAsia="Times New Roman" w:hAnsi="Calibri" w:cs="Arial"/>
          <w:b/>
          <w:sz w:val="24"/>
          <w:szCs w:val="24"/>
          <w:lang w:val="en-US" w:eastAsia="nl-NL"/>
        </w:rPr>
        <w:br w:type="page"/>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b/>
          <w:sz w:val="24"/>
          <w:szCs w:val="24"/>
          <w:lang w:val="en-US" w:eastAsia="nl-NL"/>
        </w:rPr>
        <w:lastRenderedPageBreak/>
        <w:t>Primitive marker</w:t>
      </w:r>
      <w:r w:rsidR="00120A80">
        <w:rPr>
          <w:rFonts w:ascii="Calibri" w:eastAsia="Times New Roman" w:hAnsi="Calibri" w:cs="Arial"/>
          <w:b/>
          <w:sz w:val="24"/>
          <w:szCs w:val="24"/>
          <w:lang w:val="en-US" w:eastAsia="nl-NL"/>
        </w:rPr>
        <w:t>:</w:t>
      </w:r>
      <w:r w:rsidRPr="00A82B2A">
        <w:rPr>
          <w:rFonts w:ascii="Calibri" w:eastAsia="Times New Roman" w:hAnsi="Calibri" w:cs="Arial"/>
          <w:b/>
          <w:sz w:val="24"/>
          <w:szCs w:val="24"/>
          <w:lang w:val="en-US" w:eastAsia="nl-NL"/>
        </w:rPr>
        <w:t xml:space="preserve"> use in a LAIP</w:t>
      </w:r>
    </w:p>
    <w:p w:rsidR="00A82B2A" w:rsidRPr="00A82B2A" w:rsidRDefault="00120A80" w:rsidP="00A82B2A">
      <w:pPr>
        <w:spacing w:after="0" w:line="240" w:lineRule="auto"/>
        <w:jc w:val="both"/>
        <w:rPr>
          <w:rFonts w:ascii="Calibri" w:eastAsia="Times New Roman" w:hAnsi="Calibri" w:cs="Arial"/>
          <w:sz w:val="24"/>
          <w:szCs w:val="24"/>
          <w:lang w:val="en-US" w:eastAsia="nl-NL"/>
        </w:rPr>
      </w:pPr>
      <w:r>
        <w:rPr>
          <w:rFonts w:ascii="Calibri" w:eastAsia="Times New Roman" w:hAnsi="Calibri" w:cs="Arial"/>
          <w:sz w:val="24"/>
          <w:szCs w:val="24"/>
          <w:lang w:val="en-US" w:eastAsia="nl-NL"/>
        </w:rPr>
        <w:t>In general,</w:t>
      </w:r>
      <w:r w:rsidR="00A82B2A" w:rsidRPr="00A82B2A">
        <w:rPr>
          <w:rFonts w:ascii="Calibri" w:eastAsia="Times New Roman" w:hAnsi="Calibri" w:cs="Arial"/>
          <w:sz w:val="24"/>
          <w:szCs w:val="24"/>
          <w:lang w:val="en-US" w:eastAsia="nl-NL"/>
        </w:rPr>
        <w:t xml:space="preserve"> a primitive marker of which the fluorescence of the conjugate exceeds the 3</w:t>
      </w:r>
      <w:r w:rsidR="00A82B2A" w:rsidRPr="00A82B2A">
        <w:rPr>
          <w:rFonts w:ascii="Calibri" w:eastAsia="Times New Roman" w:hAnsi="Calibri" w:cs="Arial"/>
          <w:sz w:val="24"/>
          <w:szCs w:val="24"/>
          <w:vertAlign w:val="superscript"/>
          <w:lang w:val="en-US" w:eastAsia="nl-NL"/>
        </w:rPr>
        <w:t>rd</w:t>
      </w:r>
      <w:r w:rsidR="00A82B2A" w:rsidRPr="00A82B2A">
        <w:rPr>
          <w:rFonts w:ascii="Calibri" w:eastAsia="Times New Roman" w:hAnsi="Calibri" w:cs="Arial"/>
          <w:sz w:val="24"/>
          <w:szCs w:val="24"/>
          <w:lang w:val="en-US" w:eastAsia="nl-NL"/>
        </w:rPr>
        <w:t xml:space="preserve"> log quadrant is appropriate. The higher the fluorescence the better the discrimination between normal and leukemic cells.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In cases with equal levels of expression, use the primitive marker with the highest percentage of expression. </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In cases with similar levels and percentages of marker expression, CD34 is the most reliable primitive marker: CD133 expression is often dim and CD117 may be down-regulated in peripheral blood stem cell</w:t>
      </w:r>
      <w:r w:rsidR="00120A80">
        <w:rPr>
          <w:rFonts w:ascii="Calibri" w:eastAsia="Times New Roman" w:hAnsi="Calibri" w:cs="Arial"/>
          <w:sz w:val="24"/>
          <w:szCs w:val="24"/>
          <w:lang w:val="en-US" w:eastAsia="nl-NL"/>
        </w:rPr>
        <w:t xml:space="preserve"> transplantation</w:t>
      </w:r>
      <w:r w:rsidRPr="00A82B2A">
        <w:rPr>
          <w:rFonts w:ascii="Calibri" w:eastAsia="Times New Roman" w:hAnsi="Calibri" w:cs="Arial"/>
          <w:sz w:val="24"/>
          <w:szCs w:val="24"/>
          <w:lang w:val="en-US" w:eastAsia="nl-NL"/>
        </w:rPr>
        <w:t xml:space="preserve"> products.</w:t>
      </w:r>
    </w:p>
    <w:p w:rsidR="00BD1959" w:rsidRDefault="00BD1959" w:rsidP="00A82B2A">
      <w:pPr>
        <w:spacing w:after="0" w:line="240" w:lineRule="auto"/>
        <w:jc w:val="both"/>
        <w:rPr>
          <w:rFonts w:ascii="Calibri" w:eastAsia="Times New Roman" w:hAnsi="Calibri" w:cs="Arial"/>
          <w:b/>
          <w:sz w:val="24"/>
          <w:szCs w:val="24"/>
          <w:lang w:val="en-US" w:eastAsia="nl-NL"/>
        </w:rPr>
      </w:pPr>
    </w:p>
    <w:p w:rsidR="00BD1959" w:rsidRDefault="00BD1959" w:rsidP="00A82B2A">
      <w:pPr>
        <w:spacing w:after="0" w:line="240" w:lineRule="auto"/>
        <w:jc w:val="both"/>
        <w:rPr>
          <w:rFonts w:ascii="Calibri" w:eastAsia="Times New Roman" w:hAnsi="Calibri" w:cs="Arial"/>
          <w:b/>
          <w:sz w:val="24"/>
          <w:szCs w:val="24"/>
          <w:lang w:val="en-US" w:eastAsia="nl-NL"/>
        </w:rPr>
      </w:pPr>
    </w:p>
    <w:p w:rsidR="00A82B2A" w:rsidRPr="00A82B2A" w:rsidRDefault="00A82B2A" w:rsidP="00A82B2A">
      <w:pPr>
        <w:spacing w:after="0" w:line="240" w:lineRule="auto"/>
        <w:jc w:val="both"/>
        <w:rPr>
          <w:rFonts w:ascii="Calibri" w:eastAsia="Times New Roman" w:hAnsi="Calibri" w:cs="Arial"/>
          <w:b/>
          <w:sz w:val="24"/>
          <w:szCs w:val="24"/>
          <w:lang w:val="en-US" w:eastAsia="nl-NL"/>
        </w:rPr>
      </w:pPr>
      <w:r w:rsidRPr="00A82B2A">
        <w:rPr>
          <w:rFonts w:ascii="Calibri" w:eastAsia="Times New Roman" w:hAnsi="Calibri" w:cs="Arial"/>
          <w:b/>
          <w:sz w:val="24"/>
          <w:szCs w:val="24"/>
          <w:lang w:val="en-US" w:eastAsia="nl-NL"/>
        </w:rPr>
        <w:t>Myeloid marker</w:t>
      </w:r>
      <w:r w:rsidR="00120A80">
        <w:rPr>
          <w:rFonts w:ascii="Calibri" w:eastAsia="Times New Roman" w:hAnsi="Calibri" w:cs="Arial"/>
          <w:b/>
          <w:sz w:val="24"/>
          <w:szCs w:val="24"/>
          <w:lang w:val="en-US" w:eastAsia="nl-NL"/>
        </w:rPr>
        <w:t>:</w:t>
      </w:r>
      <w:r w:rsidRPr="00A82B2A">
        <w:rPr>
          <w:rFonts w:ascii="Calibri" w:eastAsia="Times New Roman" w:hAnsi="Calibri" w:cs="Arial"/>
          <w:b/>
          <w:sz w:val="24"/>
          <w:szCs w:val="24"/>
          <w:lang w:val="en-US" w:eastAsia="nl-NL"/>
        </w:rPr>
        <w:t xml:space="preserve"> use in a LAIP</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Preferably, use a myeloid marker which is highly expressed on the AML cells. Be alert on</w:t>
      </w:r>
    </w:p>
    <w:p w:rsidR="00A82B2A" w:rsidRPr="00A82B2A" w:rsidRDefault="00A82B2A" w:rsidP="00A82B2A">
      <w:pPr>
        <w:numPr>
          <w:ilvl w:val="0"/>
          <w:numId w:val="1"/>
        </w:num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Differences in percentages expression between normal and leukemic cells: e.g. normal CD34+ cells show about &gt;90% CD13 and CD33 expression, while leukemic cells may lack CD13 or CD33.</w:t>
      </w:r>
    </w:p>
    <w:p w:rsidR="00A82B2A" w:rsidRPr="00A82B2A" w:rsidRDefault="00A82B2A" w:rsidP="00A82B2A">
      <w:pPr>
        <w:numPr>
          <w:ilvl w:val="0"/>
          <w:numId w:val="1"/>
        </w:num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Differences in levels of expression of myeloid markers between normal and leukemic cells. </w:t>
      </w:r>
    </w:p>
    <w:p w:rsidR="00BD1959" w:rsidRDefault="00A82B2A" w:rsidP="00BD1959">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 xml:space="preserve">However, when the LAIP includes a </w:t>
      </w:r>
      <w:r w:rsidRPr="00A82B2A">
        <w:rPr>
          <w:rFonts w:ascii="Calibri" w:eastAsia="Times New Roman" w:hAnsi="Calibri" w:cs="Arial"/>
          <w:i/>
          <w:iCs/>
          <w:sz w:val="24"/>
          <w:szCs w:val="24"/>
          <w:lang w:val="en-US" w:eastAsia="nl-NL"/>
        </w:rPr>
        <w:t xml:space="preserve">lack of expression  of a marker </w:t>
      </w:r>
      <w:r w:rsidRPr="00A82B2A">
        <w:rPr>
          <w:rFonts w:ascii="Calibri" w:eastAsia="Times New Roman" w:hAnsi="Calibri" w:cs="Arial"/>
          <w:sz w:val="24"/>
          <w:szCs w:val="24"/>
          <w:lang w:val="en-US" w:eastAsia="nl-NL"/>
        </w:rPr>
        <w:t>(CD13 or CD33 or HLADR) then use a different myeloid marker, which is expressed at highest percentages on normal cells and combine with the use of a strong fluorescence label.</w:t>
      </w:r>
    </w:p>
    <w:p w:rsidR="00A82B2A" w:rsidRPr="00BD1959" w:rsidRDefault="00A82B2A" w:rsidP="00BD1959">
      <w:pPr>
        <w:pStyle w:val="ListParagraph"/>
        <w:numPr>
          <w:ilvl w:val="0"/>
          <w:numId w:val="5"/>
        </w:num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sz w:val="24"/>
          <w:szCs w:val="24"/>
          <w:lang w:val="en-US" w:eastAsia="nl-NL"/>
        </w:rPr>
        <w:t>The myeloid marker that is expressed should have a high fluorescence signal (beyond the 3</w:t>
      </w:r>
      <w:r w:rsidRPr="00BD1959">
        <w:rPr>
          <w:rFonts w:ascii="Calibri" w:eastAsia="Times New Roman" w:hAnsi="Calibri" w:cs="Arial"/>
          <w:sz w:val="24"/>
          <w:szCs w:val="24"/>
          <w:vertAlign w:val="superscript"/>
          <w:lang w:val="en-US" w:eastAsia="nl-NL"/>
        </w:rPr>
        <w:t>rd</w:t>
      </w:r>
      <w:r w:rsidRPr="00BD1959">
        <w:rPr>
          <w:rFonts w:ascii="Calibri" w:eastAsia="Times New Roman" w:hAnsi="Calibri" w:cs="Arial"/>
          <w:sz w:val="24"/>
          <w:szCs w:val="24"/>
          <w:lang w:val="en-US" w:eastAsia="nl-NL"/>
        </w:rPr>
        <w:t xml:space="preserve"> log quadrant). </w:t>
      </w:r>
    </w:p>
    <w:p w:rsidR="00A82B2A" w:rsidRPr="00A82B2A" w:rsidRDefault="00A82B2A"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b/>
          <w:sz w:val="24"/>
          <w:szCs w:val="24"/>
          <w:lang w:val="en-US" w:eastAsia="nl-NL"/>
        </w:rPr>
      </w:pPr>
    </w:p>
    <w:p w:rsidR="00A82B2A" w:rsidRPr="00A82B2A" w:rsidRDefault="00A82B2A" w:rsidP="00A82B2A">
      <w:pPr>
        <w:spacing w:after="0" w:line="240" w:lineRule="auto"/>
        <w:jc w:val="both"/>
        <w:rPr>
          <w:rFonts w:ascii="Calibri" w:eastAsia="Times New Roman" w:hAnsi="Calibri" w:cs="Arial"/>
          <w:b/>
          <w:sz w:val="24"/>
          <w:szCs w:val="24"/>
          <w:lang w:val="en-US" w:eastAsia="nl-NL"/>
        </w:rPr>
      </w:pPr>
      <w:r w:rsidRPr="00A82B2A">
        <w:rPr>
          <w:rFonts w:ascii="Calibri" w:eastAsia="Times New Roman" w:hAnsi="Calibri" w:cs="Arial"/>
          <w:b/>
          <w:sz w:val="24"/>
          <w:szCs w:val="24"/>
          <w:lang w:val="en-US" w:eastAsia="nl-NL"/>
        </w:rPr>
        <w:t>Exclusion marker instead of myeloid marker</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When a primitive marker has a staining intensity that does not exceed the 3</w:t>
      </w:r>
      <w:r w:rsidRPr="00A82B2A">
        <w:rPr>
          <w:rFonts w:ascii="Calibri" w:eastAsia="Times New Roman" w:hAnsi="Calibri" w:cs="Arial"/>
          <w:sz w:val="24"/>
          <w:szCs w:val="24"/>
          <w:vertAlign w:val="superscript"/>
          <w:lang w:val="en-US" w:eastAsia="nl-NL"/>
        </w:rPr>
        <w:t>rd</w:t>
      </w:r>
      <w:r w:rsidRPr="00A82B2A">
        <w:rPr>
          <w:rFonts w:ascii="Calibri" w:eastAsia="Times New Roman" w:hAnsi="Calibri" w:cs="Arial"/>
          <w:sz w:val="24"/>
          <w:szCs w:val="24"/>
          <w:lang w:val="en-US" w:eastAsia="nl-NL"/>
        </w:rPr>
        <w:t xml:space="preserve"> log quadrant, even when used with the strongest fluorescence label, it sometimes makes sense to replace the myeloid marker by an exclusion marker in order to exclude monocytes and/or granulocytes. Of course, the exclusion marker has to be absent (or present </w:t>
      </w:r>
      <w:r w:rsidR="00120A80">
        <w:rPr>
          <w:rFonts w:ascii="Calibri" w:eastAsia="Times New Roman" w:hAnsi="Calibri" w:cs="Arial"/>
          <w:sz w:val="24"/>
          <w:szCs w:val="24"/>
          <w:lang w:val="en-US" w:eastAsia="nl-NL"/>
        </w:rPr>
        <w:t xml:space="preserve">only </w:t>
      </w:r>
      <w:r w:rsidRPr="00A82B2A">
        <w:rPr>
          <w:rFonts w:ascii="Calibri" w:eastAsia="Times New Roman" w:hAnsi="Calibri" w:cs="Arial"/>
          <w:sz w:val="24"/>
          <w:szCs w:val="24"/>
          <w:lang w:val="en-US" w:eastAsia="nl-NL"/>
        </w:rPr>
        <w:t>at low percentages) on the leukemic cells.</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BD1959">
        <w:rPr>
          <w:rFonts w:ascii="Calibri" w:eastAsia="Times New Roman" w:hAnsi="Calibri" w:cs="Arial"/>
          <w:i/>
          <w:sz w:val="24"/>
          <w:szCs w:val="24"/>
          <w:lang w:val="en-US" w:eastAsia="nl-NL"/>
        </w:rPr>
        <w:t xml:space="preserve">Exclusion markers are: </w:t>
      </w:r>
      <w:r w:rsidRPr="00A82B2A">
        <w:rPr>
          <w:rFonts w:ascii="Calibri" w:eastAsia="Times New Roman" w:hAnsi="Calibri" w:cs="Arial"/>
          <w:sz w:val="24"/>
          <w:szCs w:val="24"/>
          <w:lang w:val="en-US" w:eastAsia="nl-NL"/>
        </w:rPr>
        <w:t>CD36 (exclusion of monocytes),CD14 (exclusion of monocytes),</w:t>
      </w:r>
      <w:r w:rsidR="00BD1959">
        <w:rPr>
          <w:rFonts w:ascii="Calibri" w:eastAsia="Times New Roman" w:hAnsi="Calibri" w:cs="Arial"/>
          <w:sz w:val="24"/>
          <w:szCs w:val="24"/>
          <w:lang w:val="en-US" w:eastAsia="nl-NL"/>
        </w:rPr>
        <w:t xml:space="preserve"> </w:t>
      </w:r>
      <w:r w:rsidRPr="00A82B2A">
        <w:rPr>
          <w:rFonts w:ascii="Calibri" w:eastAsia="Times New Roman" w:hAnsi="Calibri" w:cs="Arial"/>
          <w:sz w:val="24"/>
          <w:szCs w:val="24"/>
          <w:lang w:val="en-US" w:eastAsia="nl-NL"/>
        </w:rPr>
        <w:t xml:space="preserve">CD15 (exclusion of </w:t>
      </w:r>
      <w:proofErr w:type="spellStart"/>
      <w:r w:rsidRPr="00A82B2A">
        <w:rPr>
          <w:rFonts w:ascii="Calibri" w:eastAsia="Times New Roman" w:hAnsi="Calibri" w:cs="Arial"/>
          <w:sz w:val="24"/>
          <w:szCs w:val="24"/>
          <w:lang w:val="en-US" w:eastAsia="nl-NL"/>
        </w:rPr>
        <w:t>promyelocytes</w:t>
      </w:r>
      <w:proofErr w:type="spellEnd"/>
      <w:r w:rsidRPr="00A82B2A">
        <w:rPr>
          <w:rFonts w:ascii="Calibri" w:eastAsia="Times New Roman" w:hAnsi="Calibri" w:cs="Arial"/>
          <w:sz w:val="24"/>
          <w:szCs w:val="24"/>
          <w:lang w:val="en-US" w:eastAsia="nl-NL"/>
        </w:rPr>
        <w:t xml:space="preserve"> and more mature granulocytes).</w:t>
      </w:r>
    </w:p>
    <w:p w:rsidR="00A82B2A" w:rsidRPr="00A82B2A" w:rsidRDefault="00A82B2A" w:rsidP="00A82B2A">
      <w:pPr>
        <w:spacing w:after="0" w:line="240" w:lineRule="auto"/>
        <w:jc w:val="both"/>
        <w:rPr>
          <w:rFonts w:ascii="Calibri" w:eastAsia="Times New Roman" w:hAnsi="Calibri" w:cs="Arial"/>
          <w:sz w:val="24"/>
          <w:szCs w:val="24"/>
          <w:lang w:val="en-US" w:eastAsia="nl-NL"/>
        </w:rPr>
      </w:pPr>
    </w:p>
    <w:p w:rsidR="00BD1959" w:rsidRDefault="00BD1959" w:rsidP="00A82B2A">
      <w:pPr>
        <w:spacing w:after="0" w:line="240" w:lineRule="auto"/>
        <w:jc w:val="both"/>
        <w:rPr>
          <w:rFonts w:ascii="Calibri" w:eastAsia="Times New Roman" w:hAnsi="Calibri" w:cs="Arial"/>
          <w:b/>
          <w:bCs/>
          <w:iCs/>
          <w:sz w:val="24"/>
          <w:szCs w:val="24"/>
          <w:lang w:val="en-US" w:eastAsia="nl-NL"/>
        </w:rPr>
      </w:pP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b/>
          <w:bCs/>
          <w:iCs/>
          <w:sz w:val="24"/>
          <w:szCs w:val="24"/>
          <w:lang w:val="en-US" w:eastAsia="nl-NL"/>
        </w:rPr>
        <w:t>LAIPs without primitive markers</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The specificity of these LAIPs is less compared to LAIPs in which a primitive marker could be included. In most cases LAIPs can be defined by the absence of a myeloid marker.</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Most frequently defined LAIPs without PM are:</w:t>
      </w:r>
    </w:p>
    <w:p w:rsidR="00A82B2A" w:rsidRPr="00A82B2A" w:rsidRDefault="00A82B2A" w:rsidP="00A82B2A">
      <w:pPr>
        <w:spacing w:after="0" w:line="240" w:lineRule="auto"/>
        <w:jc w:val="both"/>
        <w:rPr>
          <w:rFonts w:ascii="Calibri" w:eastAsia="Times New Roman" w:hAnsi="Calibri" w:cs="Arial"/>
          <w:sz w:val="24"/>
          <w:szCs w:val="24"/>
          <w:lang w:eastAsia="nl-NL"/>
        </w:rPr>
      </w:pPr>
      <w:r w:rsidRPr="00A82B2A">
        <w:rPr>
          <w:rFonts w:ascii="Calibri" w:eastAsia="Times New Roman" w:hAnsi="Calibri" w:cs="Arial"/>
          <w:sz w:val="24"/>
          <w:szCs w:val="24"/>
          <w:lang w:eastAsia="nl-NL"/>
        </w:rPr>
        <w:t>CD15+</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CD13-</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CD45dim</w:t>
      </w:r>
      <w:r w:rsidRPr="00A82B2A">
        <w:rPr>
          <w:rFonts w:ascii="Calibri" w:eastAsia="Times New Roman" w:hAnsi="Calibri" w:cs="Arial"/>
          <w:sz w:val="24"/>
          <w:szCs w:val="24"/>
          <w:lang w:eastAsia="nl-NL"/>
        </w:rPr>
        <w:tab/>
        <w:t>CD14+</w:t>
      </w:r>
      <w:r w:rsidRPr="00A82B2A">
        <w:rPr>
          <w:rFonts w:ascii="Calibri" w:eastAsia="Times New Roman" w:hAnsi="Calibri" w:cs="Arial"/>
          <w:sz w:val="24"/>
          <w:szCs w:val="24"/>
          <w:lang w:eastAsia="nl-NL"/>
        </w:rPr>
        <w:tab/>
      </w:r>
    </w:p>
    <w:p w:rsidR="00A82B2A" w:rsidRPr="00A82B2A" w:rsidRDefault="00A82B2A" w:rsidP="00A82B2A">
      <w:pPr>
        <w:spacing w:after="0" w:line="240" w:lineRule="auto"/>
        <w:jc w:val="both"/>
        <w:rPr>
          <w:rFonts w:ascii="Calibri" w:eastAsia="Times New Roman" w:hAnsi="Calibri" w:cs="Arial"/>
          <w:sz w:val="24"/>
          <w:szCs w:val="24"/>
          <w:lang w:eastAsia="nl-NL"/>
        </w:rPr>
      </w:pPr>
      <w:r w:rsidRPr="00A82B2A">
        <w:rPr>
          <w:rFonts w:ascii="Calibri" w:eastAsia="Times New Roman" w:hAnsi="Calibri" w:cs="Arial"/>
          <w:sz w:val="24"/>
          <w:szCs w:val="24"/>
          <w:lang w:eastAsia="nl-NL"/>
        </w:rPr>
        <w:t>CD15-</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CD33+</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CD45dim</w:t>
      </w:r>
      <w:r w:rsidRPr="00A82B2A">
        <w:rPr>
          <w:rFonts w:ascii="Calibri" w:eastAsia="Times New Roman" w:hAnsi="Calibri" w:cs="Arial"/>
          <w:sz w:val="24"/>
          <w:szCs w:val="24"/>
          <w:lang w:eastAsia="nl-NL"/>
        </w:rPr>
        <w:tab/>
        <w:t>CD14+</w:t>
      </w:r>
    </w:p>
    <w:p w:rsidR="00A82B2A" w:rsidRPr="00A82B2A" w:rsidRDefault="00A82B2A" w:rsidP="00A82B2A">
      <w:pPr>
        <w:spacing w:after="0" w:line="240" w:lineRule="auto"/>
        <w:jc w:val="both"/>
        <w:rPr>
          <w:rFonts w:ascii="Calibri" w:eastAsia="Times New Roman" w:hAnsi="Calibri" w:cs="Arial"/>
          <w:sz w:val="24"/>
          <w:szCs w:val="24"/>
          <w:lang w:eastAsia="nl-NL"/>
        </w:rPr>
      </w:pPr>
      <w:r w:rsidRPr="00A82B2A">
        <w:rPr>
          <w:rFonts w:ascii="Calibri" w:eastAsia="Times New Roman" w:hAnsi="Calibri" w:cs="Arial"/>
          <w:sz w:val="24"/>
          <w:szCs w:val="24"/>
          <w:lang w:eastAsia="nl-NL"/>
        </w:rPr>
        <w:t>CD33+</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CD56++</w:t>
      </w:r>
      <w:r w:rsidRPr="00A82B2A">
        <w:rPr>
          <w:rFonts w:ascii="Calibri" w:eastAsia="Times New Roman" w:hAnsi="Calibri" w:cs="Arial"/>
          <w:sz w:val="24"/>
          <w:szCs w:val="24"/>
          <w:lang w:eastAsia="nl-NL"/>
        </w:rPr>
        <w:tab/>
        <w:t>CD45dim</w:t>
      </w:r>
      <w:r w:rsidRPr="00A82B2A">
        <w:rPr>
          <w:rFonts w:ascii="Calibri" w:eastAsia="Times New Roman" w:hAnsi="Calibri" w:cs="Arial"/>
          <w:sz w:val="24"/>
          <w:szCs w:val="24"/>
          <w:lang w:eastAsia="nl-NL"/>
        </w:rPr>
        <w:tab/>
        <w:t>CD14-</w:t>
      </w:r>
    </w:p>
    <w:p w:rsidR="00A82B2A" w:rsidRPr="00A82B2A" w:rsidRDefault="00A82B2A" w:rsidP="00A82B2A">
      <w:pPr>
        <w:spacing w:after="0" w:line="240" w:lineRule="auto"/>
        <w:jc w:val="both"/>
        <w:rPr>
          <w:rFonts w:ascii="Calibri" w:eastAsia="Times New Roman" w:hAnsi="Calibri" w:cs="Arial"/>
          <w:sz w:val="24"/>
          <w:szCs w:val="24"/>
          <w:lang w:eastAsia="nl-NL"/>
        </w:rPr>
      </w:pPr>
      <w:r w:rsidRPr="00A82B2A">
        <w:rPr>
          <w:rFonts w:ascii="Calibri" w:eastAsia="Times New Roman" w:hAnsi="Calibri" w:cs="Arial"/>
          <w:sz w:val="24"/>
          <w:szCs w:val="24"/>
          <w:lang w:eastAsia="nl-NL"/>
        </w:rPr>
        <w:t>HLADR-</w:t>
      </w:r>
      <w:r w:rsidRPr="00A82B2A">
        <w:rPr>
          <w:rFonts w:ascii="Calibri" w:eastAsia="Times New Roman" w:hAnsi="Calibri" w:cs="Arial"/>
          <w:sz w:val="24"/>
          <w:szCs w:val="24"/>
          <w:lang w:eastAsia="nl-NL"/>
        </w:rPr>
        <w:tab/>
        <w:t>CD11b</w:t>
      </w:r>
      <w:r w:rsidRPr="00A82B2A">
        <w:rPr>
          <w:rFonts w:ascii="Calibri" w:eastAsia="Times New Roman" w:hAnsi="Calibri" w:cs="Arial"/>
          <w:sz w:val="24"/>
          <w:szCs w:val="24"/>
          <w:lang w:eastAsia="nl-NL"/>
        </w:rPr>
        <w:tab/>
      </w:r>
      <w:r w:rsidRPr="00A82B2A">
        <w:rPr>
          <w:rFonts w:ascii="Calibri" w:eastAsia="Times New Roman" w:hAnsi="Calibri" w:cs="Arial"/>
          <w:sz w:val="24"/>
          <w:szCs w:val="24"/>
          <w:lang w:eastAsia="nl-NL"/>
        </w:rPr>
        <w:tab/>
        <w:t>CD45dim</w:t>
      </w:r>
      <w:r w:rsidRPr="00A82B2A">
        <w:rPr>
          <w:rFonts w:ascii="Calibri" w:eastAsia="Times New Roman" w:hAnsi="Calibri" w:cs="Arial"/>
          <w:sz w:val="24"/>
          <w:szCs w:val="24"/>
          <w:lang w:eastAsia="nl-NL"/>
        </w:rPr>
        <w:tab/>
        <w:t>CD14+</w:t>
      </w:r>
    </w:p>
    <w:p w:rsidR="00A82B2A" w:rsidRP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HLADR-</w:t>
      </w:r>
      <w:r w:rsidRPr="00A82B2A">
        <w:rPr>
          <w:rFonts w:ascii="Calibri" w:eastAsia="Times New Roman" w:hAnsi="Calibri" w:cs="Arial"/>
          <w:sz w:val="24"/>
          <w:szCs w:val="24"/>
          <w:lang w:val="en-US" w:eastAsia="nl-NL"/>
        </w:rPr>
        <w:tab/>
        <w:t>CD56++</w:t>
      </w:r>
      <w:r w:rsidRPr="00A82B2A">
        <w:rPr>
          <w:rFonts w:ascii="Calibri" w:eastAsia="Times New Roman" w:hAnsi="Calibri" w:cs="Arial"/>
          <w:sz w:val="24"/>
          <w:szCs w:val="24"/>
          <w:lang w:val="en-US" w:eastAsia="nl-NL"/>
        </w:rPr>
        <w:tab/>
        <w:t>CD45dim</w:t>
      </w:r>
      <w:r w:rsidRPr="00A82B2A">
        <w:rPr>
          <w:rFonts w:ascii="Calibri" w:eastAsia="Times New Roman" w:hAnsi="Calibri" w:cs="Arial"/>
          <w:sz w:val="24"/>
          <w:szCs w:val="24"/>
          <w:lang w:val="en-US" w:eastAsia="nl-NL"/>
        </w:rPr>
        <w:tab/>
        <w:t>CD33+</w:t>
      </w:r>
    </w:p>
    <w:p w:rsidR="00A82B2A" w:rsidRDefault="00A82B2A" w:rsidP="00A82B2A">
      <w:pPr>
        <w:spacing w:after="0" w:line="240" w:lineRule="auto"/>
        <w:jc w:val="both"/>
        <w:rPr>
          <w:rFonts w:ascii="Calibri" w:eastAsia="Times New Roman" w:hAnsi="Calibri" w:cs="Arial"/>
          <w:sz w:val="24"/>
          <w:szCs w:val="24"/>
          <w:lang w:val="en-US" w:eastAsia="nl-NL"/>
        </w:rPr>
      </w:pPr>
      <w:r w:rsidRPr="00A82B2A">
        <w:rPr>
          <w:rFonts w:ascii="Calibri" w:eastAsia="Times New Roman" w:hAnsi="Calibri" w:cs="Arial"/>
          <w:sz w:val="24"/>
          <w:szCs w:val="24"/>
          <w:lang w:val="en-US" w:eastAsia="nl-NL"/>
        </w:rPr>
        <w:t>For defining LAIPs it can be very helpful to use the maturation patterns</w:t>
      </w:r>
      <w:r w:rsidR="005D66AC">
        <w:rPr>
          <w:rFonts w:ascii="Calibri" w:eastAsia="Times New Roman" w:hAnsi="Calibri" w:cs="Arial"/>
          <w:sz w:val="24"/>
          <w:szCs w:val="24"/>
          <w:lang w:val="en-US" w:eastAsia="nl-NL"/>
        </w:rPr>
        <w:t xml:space="preserve"> of the cells in normal bone marrow as shown in </w:t>
      </w:r>
      <w:r w:rsidR="00D34AB0" w:rsidRPr="00D34AB0">
        <w:rPr>
          <w:rFonts w:ascii="Calibri" w:eastAsia="Times New Roman" w:hAnsi="Calibri" w:cs="Arial"/>
          <w:sz w:val="24"/>
          <w:szCs w:val="24"/>
          <w:lang w:val="en-US" w:eastAsia="nl-NL"/>
        </w:rPr>
        <w:t>Figure S2</w:t>
      </w:r>
      <w:r w:rsidR="005D66AC" w:rsidRPr="00D34AB0">
        <w:rPr>
          <w:rFonts w:ascii="Calibri" w:eastAsia="Times New Roman" w:hAnsi="Calibri" w:cs="Arial"/>
          <w:sz w:val="24"/>
          <w:szCs w:val="24"/>
          <w:lang w:val="en-US" w:eastAsia="nl-NL"/>
        </w:rPr>
        <w:t>.</w:t>
      </w:r>
    </w:p>
    <w:p w:rsidR="005D66AC" w:rsidRDefault="005D66AC" w:rsidP="00A82B2A">
      <w:pPr>
        <w:spacing w:after="0" w:line="240" w:lineRule="auto"/>
        <w:jc w:val="both"/>
        <w:rPr>
          <w:rFonts w:ascii="Calibri" w:eastAsia="Times New Roman" w:hAnsi="Calibri" w:cs="Arial"/>
          <w:sz w:val="24"/>
          <w:szCs w:val="24"/>
          <w:lang w:val="en-US" w:eastAsia="nl-NL"/>
        </w:rPr>
      </w:pPr>
    </w:p>
    <w:p w:rsidR="00B745B6" w:rsidRDefault="00BD1959" w:rsidP="00A82B2A">
      <w:pPr>
        <w:spacing w:after="0" w:line="240" w:lineRule="auto"/>
        <w:jc w:val="both"/>
        <w:rPr>
          <w:rFonts w:ascii="Calibri" w:eastAsia="Times New Roman" w:hAnsi="Calibri" w:cs="Arial"/>
          <w:sz w:val="24"/>
          <w:szCs w:val="24"/>
          <w:lang w:val="en-US" w:eastAsia="nl-NL"/>
        </w:rPr>
      </w:pPr>
      <w:r>
        <w:rPr>
          <w:noProof/>
          <w:lang w:eastAsia="nl-NL"/>
        </w:rPr>
        <w:lastRenderedPageBreak/>
        <w:drawing>
          <wp:anchor distT="0" distB="0" distL="114300" distR="114300" simplePos="0" relativeHeight="251659264" behindDoc="0" locked="0" layoutInCell="1" allowOverlap="1" wp14:anchorId="23A32C69" wp14:editId="45EB7609">
            <wp:simplePos x="0" y="0"/>
            <wp:positionH relativeFrom="column">
              <wp:posOffset>743105</wp:posOffset>
            </wp:positionH>
            <wp:positionV relativeFrom="paragraph">
              <wp:posOffset>-382348</wp:posOffset>
            </wp:positionV>
            <wp:extent cx="3348990" cy="2340610"/>
            <wp:effectExtent l="0" t="0" r="3810" b="2540"/>
            <wp:wrapNone/>
            <wp:docPr id="3" name="Picture 3" descr="https://ars.els-cdn.com/content/image/1-s2.0-S0145212607001427-gr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145212607001427-gr1_l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8990" cy="234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B745B6" w:rsidRDefault="00B745B6" w:rsidP="00A82B2A">
      <w:pPr>
        <w:spacing w:after="0" w:line="240" w:lineRule="auto"/>
        <w:jc w:val="both"/>
        <w:rPr>
          <w:rFonts w:ascii="Calibri" w:eastAsia="Times New Roman" w:hAnsi="Calibri" w:cs="Arial"/>
          <w:sz w:val="24"/>
          <w:szCs w:val="24"/>
          <w:lang w:val="en-US" w:eastAsia="nl-NL"/>
        </w:rPr>
      </w:pPr>
    </w:p>
    <w:p w:rsidR="005D66AC" w:rsidRDefault="00A27F70" w:rsidP="00B745B6">
      <w:pPr>
        <w:spacing w:after="0" w:line="240" w:lineRule="auto"/>
        <w:jc w:val="both"/>
        <w:rPr>
          <w:rFonts w:ascii="Calibri" w:eastAsia="Times New Roman" w:hAnsi="Calibri" w:cs="Arial"/>
          <w:sz w:val="24"/>
          <w:szCs w:val="24"/>
          <w:lang w:eastAsia="nl-NL"/>
        </w:rPr>
      </w:pPr>
      <w:r w:rsidRPr="00BD1959">
        <w:rPr>
          <w:rFonts w:ascii="Calibri" w:eastAsia="Times New Roman" w:hAnsi="Calibri" w:cs="Arial"/>
          <w:b/>
          <w:sz w:val="24"/>
          <w:szCs w:val="24"/>
          <w:lang w:val="en-US" w:eastAsia="nl-NL"/>
        </w:rPr>
        <w:t>Figure S2. Maturation patterns of CD marker exp</w:t>
      </w:r>
      <w:r w:rsidR="00B745B6" w:rsidRPr="00BD1959">
        <w:rPr>
          <w:rFonts w:ascii="Calibri" w:eastAsia="Times New Roman" w:hAnsi="Calibri" w:cs="Arial"/>
          <w:b/>
          <w:sz w:val="24"/>
          <w:szCs w:val="24"/>
          <w:lang w:val="en-US" w:eastAsia="nl-NL"/>
        </w:rPr>
        <w:t>ression during differentiation.</w:t>
      </w:r>
      <w:r w:rsidR="00B745B6">
        <w:rPr>
          <w:rFonts w:ascii="Calibri" w:eastAsia="Times New Roman" w:hAnsi="Calibri" w:cs="Arial"/>
          <w:sz w:val="24"/>
          <w:szCs w:val="24"/>
          <w:lang w:val="en-US" w:eastAsia="nl-NL"/>
        </w:rPr>
        <w:t xml:space="preserve"> </w:t>
      </w:r>
      <w:r w:rsidR="00B745B6" w:rsidRPr="00B745B6">
        <w:rPr>
          <w:rFonts w:ascii="Calibri" w:eastAsia="Times New Roman" w:hAnsi="Calibri" w:cs="Arial"/>
          <w:i/>
          <w:sz w:val="24"/>
          <w:szCs w:val="24"/>
          <w:lang w:val="en-US" w:eastAsia="nl-NL"/>
        </w:rPr>
        <w:t>From</w:t>
      </w:r>
      <w:r w:rsidR="00B745B6">
        <w:rPr>
          <w:rFonts w:ascii="Calibri" w:eastAsia="Times New Roman" w:hAnsi="Calibri" w:cs="Arial"/>
          <w:sz w:val="24"/>
          <w:szCs w:val="24"/>
          <w:lang w:val="en-US" w:eastAsia="nl-NL"/>
        </w:rPr>
        <w:t xml:space="preserve">: </w:t>
      </w:r>
      <w:proofErr w:type="spellStart"/>
      <w:r w:rsidR="00B745B6">
        <w:rPr>
          <w:rFonts w:ascii="Calibri" w:eastAsia="Times New Roman" w:hAnsi="Calibri" w:cs="Arial"/>
          <w:sz w:val="24"/>
          <w:szCs w:val="24"/>
          <w:lang w:val="en-US" w:eastAsia="nl-NL"/>
        </w:rPr>
        <w:t>Loken</w:t>
      </w:r>
      <w:proofErr w:type="spellEnd"/>
      <w:r w:rsidR="00B745B6">
        <w:rPr>
          <w:rFonts w:ascii="Calibri" w:eastAsia="Times New Roman" w:hAnsi="Calibri" w:cs="Arial"/>
          <w:sz w:val="24"/>
          <w:szCs w:val="24"/>
          <w:lang w:val="en-US" w:eastAsia="nl-NL"/>
        </w:rPr>
        <w:t xml:space="preserve"> MR, et al. </w:t>
      </w:r>
      <w:r w:rsidR="00B745B6" w:rsidRPr="00B745B6">
        <w:rPr>
          <w:rFonts w:ascii="Calibri" w:eastAsia="Times New Roman" w:hAnsi="Calibri" w:cs="Arial"/>
          <w:sz w:val="24"/>
          <w:szCs w:val="24"/>
          <w:lang w:val="en-US" w:eastAsia="nl-NL"/>
        </w:rPr>
        <w:t>Flow cytometry in myelodysplastic syndromes: Report from a working conference</w:t>
      </w:r>
      <w:r w:rsidR="00B745B6">
        <w:rPr>
          <w:rFonts w:ascii="Calibri" w:eastAsia="Times New Roman" w:hAnsi="Calibri" w:cs="Arial"/>
          <w:sz w:val="24"/>
          <w:szCs w:val="24"/>
          <w:lang w:val="en-US" w:eastAsia="nl-NL"/>
        </w:rPr>
        <w:t>.</w:t>
      </w:r>
      <w:r w:rsidR="00BD1959">
        <w:rPr>
          <w:rFonts w:ascii="Calibri" w:eastAsia="Times New Roman" w:hAnsi="Calibri" w:cs="Arial"/>
          <w:sz w:val="24"/>
          <w:szCs w:val="24"/>
          <w:lang w:val="en-US" w:eastAsia="nl-NL"/>
        </w:rPr>
        <w:t xml:space="preserve"> </w:t>
      </w:r>
      <w:proofErr w:type="spellStart"/>
      <w:r w:rsidR="00B745B6" w:rsidRPr="00120A80">
        <w:rPr>
          <w:rFonts w:ascii="Calibri" w:eastAsia="Times New Roman" w:hAnsi="Calibri" w:cs="Arial"/>
          <w:i/>
          <w:sz w:val="24"/>
          <w:szCs w:val="24"/>
          <w:lang w:eastAsia="nl-NL"/>
        </w:rPr>
        <w:t>Leukemia</w:t>
      </w:r>
      <w:proofErr w:type="spellEnd"/>
      <w:r w:rsidR="00B745B6" w:rsidRPr="00120A80">
        <w:rPr>
          <w:rFonts w:ascii="Calibri" w:eastAsia="Times New Roman" w:hAnsi="Calibri" w:cs="Arial"/>
          <w:i/>
          <w:sz w:val="24"/>
          <w:szCs w:val="24"/>
          <w:lang w:eastAsia="nl-NL"/>
        </w:rPr>
        <w:t xml:space="preserve"> </w:t>
      </w:r>
      <w:proofErr w:type="spellStart"/>
      <w:r w:rsidR="00B745B6" w:rsidRPr="00120A80">
        <w:rPr>
          <w:rFonts w:ascii="Calibri" w:eastAsia="Times New Roman" w:hAnsi="Calibri" w:cs="Arial"/>
          <w:i/>
          <w:sz w:val="24"/>
          <w:szCs w:val="24"/>
          <w:lang w:eastAsia="nl-NL"/>
        </w:rPr>
        <w:t>Res</w:t>
      </w:r>
      <w:proofErr w:type="spellEnd"/>
      <w:r w:rsidR="00B745B6" w:rsidRPr="00120A80">
        <w:rPr>
          <w:rFonts w:ascii="Calibri" w:eastAsia="Times New Roman" w:hAnsi="Calibri" w:cs="Arial"/>
          <w:i/>
          <w:sz w:val="24"/>
          <w:szCs w:val="24"/>
          <w:lang w:eastAsia="nl-NL"/>
        </w:rPr>
        <w:t>.</w:t>
      </w:r>
      <w:r w:rsidR="00B745B6" w:rsidRPr="00120A80">
        <w:rPr>
          <w:rFonts w:ascii="Calibri" w:eastAsia="Times New Roman" w:hAnsi="Calibri" w:cs="Arial"/>
          <w:sz w:val="24"/>
          <w:szCs w:val="24"/>
          <w:lang w:eastAsia="nl-NL"/>
        </w:rPr>
        <w:t xml:space="preserve"> 32 (1), 5-17 (2008) doi.org/10.101</w:t>
      </w:r>
      <w:r w:rsidR="00B745B6" w:rsidRPr="00B745B6">
        <w:rPr>
          <w:rFonts w:ascii="Calibri" w:eastAsia="Times New Roman" w:hAnsi="Calibri" w:cs="Arial"/>
          <w:sz w:val="24"/>
          <w:szCs w:val="24"/>
          <w:lang w:eastAsia="nl-NL"/>
        </w:rPr>
        <w:t>6/j.leukres.2007.04.020</w:t>
      </w:r>
    </w:p>
    <w:p w:rsidR="00120A80" w:rsidRDefault="00120A80" w:rsidP="00B745B6">
      <w:pPr>
        <w:spacing w:after="0" w:line="240" w:lineRule="auto"/>
        <w:jc w:val="both"/>
        <w:rPr>
          <w:rFonts w:ascii="Calibri" w:eastAsia="Times New Roman" w:hAnsi="Calibri" w:cs="Arial"/>
          <w:sz w:val="24"/>
          <w:szCs w:val="24"/>
          <w:lang w:eastAsia="nl-NL"/>
        </w:rPr>
      </w:pPr>
    </w:p>
    <w:p w:rsidR="00120A80" w:rsidRDefault="00120A80" w:rsidP="00120A80">
      <w:pPr>
        <w:spacing w:after="0" w:line="240" w:lineRule="auto"/>
        <w:jc w:val="both"/>
        <w:rPr>
          <w:rFonts w:ascii="Calibri" w:eastAsia="Times New Roman" w:hAnsi="Calibri" w:cs="Arial"/>
          <w:sz w:val="24"/>
          <w:szCs w:val="24"/>
          <w:lang w:val="en-US" w:eastAsia="nl-NL"/>
        </w:rPr>
      </w:pPr>
      <w:r>
        <w:rPr>
          <w:rFonts w:ascii="Calibri" w:eastAsia="Times New Roman" w:hAnsi="Calibri" w:cs="Arial"/>
          <w:sz w:val="24"/>
          <w:szCs w:val="24"/>
          <w:lang w:val="en-US" w:eastAsia="nl-NL"/>
        </w:rPr>
        <w:t xml:space="preserve">In the ELN MRD working party a tube has been suggested for mature </w:t>
      </w:r>
      <w:proofErr w:type="spellStart"/>
      <w:r>
        <w:rPr>
          <w:rFonts w:ascii="Calibri" w:eastAsia="Times New Roman" w:hAnsi="Calibri" w:cs="Arial"/>
          <w:sz w:val="24"/>
          <w:szCs w:val="24"/>
          <w:lang w:val="en-US" w:eastAsia="nl-NL"/>
        </w:rPr>
        <w:t>monocytic</w:t>
      </w:r>
      <w:proofErr w:type="spellEnd"/>
      <w:r>
        <w:rPr>
          <w:rFonts w:ascii="Calibri" w:eastAsia="Times New Roman" w:hAnsi="Calibri" w:cs="Arial"/>
          <w:sz w:val="24"/>
          <w:szCs w:val="24"/>
          <w:lang w:val="en-US" w:eastAsia="nl-NL"/>
        </w:rPr>
        <w:t xml:space="preserve"> LAIPs that contains CD4, CD11b, CD14, CD64, apart from CD33, CD34, CD45 and HLA-DR.</w:t>
      </w:r>
    </w:p>
    <w:p w:rsidR="00387948" w:rsidRDefault="00387948" w:rsidP="00A27F70">
      <w:pPr>
        <w:spacing w:after="0"/>
        <w:rPr>
          <w:sz w:val="24"/>
          <w:szCs w:val="24"/>
          <w:lang w:val="en-US"/>
        </w:rPr>
      </w:pPr>
    </w:p>
    <w:p w:rsidR="005D66AC" w:rsidRPr="00D32A09" w:rsidRDefault="00387948" w:rsidP="00A27F70">
      <w:pPr>
        <w:spacing w:after="0"/>
        <w:rPr>
          <w:sz w:val="24"/>
          <w:szCs w:val="24"/>
          <w:lang w:val="en-US"/>
        </w:rPr>
      </w:pPr>
      <w:r>
        <w:rPr>
          <w:sz w:val="24"/>
          <w:szCs w:val="24"/>
          <w:lang w:val="en-US"/>
        </w:rPr>
        <w:t>Please t</w:t>
      </w:r>
      <w:r w:rsidR="00F36DDC" w:rsidRPr="00D32A09">
        <w:rPr>
          <w:sz w:val="24"/>
          <w:szCs w:val="24"/>
          <w:lang w:val="en-US"/>
        </w:rPr>
        <w:t xml:space="preserve">ake into account that: </w:t>
      </w:r>
    </w:p>
    <w:p w:rsidR="00F36DDC" w:rsidRPr="00D32A09" w:rsidRDefault="00F36DDC" w:rsidP="00A27F70">
      <w:pPr>
        <w:spacing w:after="0"/>
        <w:rPr>
          <w:sz w:val="24"/>
          <w:szCs w:val="24"/>
          <w:lang w:val="en-US"/>
        </w:rPr>
      </w:pPr>
      <w:r w:rsidRPr="00D32A09">
        <w:rPr>
          <w:sz w:val="24"/>
          <w:szCs w:val="24"/>
          <w:lang w:val="en-US"/>
        </w:rPr>
        <w:t>1) the intensity of markers in the LAIP might have been undergone some changes compared to diagnosis material and 2) normal cells might contaminate this LAIP gate due to regeneration of the bone marrow. Therefore, the gate on the LAIP+ cells may have to be adjusted taking into account that most AML LAIP+ cells are included but with minimal contamination of normal cells. The knowledge of the anti</w:t>
      </w:r>
      <w:r w:rsidR="00120A80">
        <w:rPr>
          <w:sz w:val="24"/>
          <w:szCs w:val="24"/>
          <w:lang w:val="en-US"/>
        </w:rPr>
        <w:t>gen</w:t>
      </w:r>
      <w:r w:rsidRPr="00D32A09">
        <w:rPr>
          <w:sz w:val="24"/>
          <w:szCs w:val="24"/>
          <w:lang w:val="en-US"/>
        </w:rPr>
        <w:t xml:space="preserve"> expression </w:t>
      </w:r>
      <w:r w:rsidR="00120A80">
        <w:rPr>
          <w:sz w:val="24"/>
          <w:szCs w:val="24"/>
          <w:lang w:val="en-US"/>
        </w:rPr>
        <w:t>using</w:t>
      </w:r>
      <w:r w:rsidRPr="00D32A09">
        <w:rPr>
          <w:sz w:val="24"/>
          <w:szCs w:val="24"/>
          <w:lang w:val="en-US"/>
        </w:rPr>
        <w:t xml:space="preserve"> your antibody panel in normal healthy bone marrow is very</w:t>
      </w:r>
      <w:r w:rsidR="00120A80">
        <w:rPr>
          <w:sz w:val="24"/>
          <w:szCs w:val="24"/>
          <w:lang w:val="en-US"/>
        </w:rPr>
        <w:t xml:space="preserve"> important and also the antigen</w:t>
      </w:r>
      <w:r w:rsidRPr="00D32A09">
        <w:rPr>
          <w:sz w:val="24"/>
          <w:szCs w:val="24"/>
          <w:lang w:val="en-US"/>
        </w:rPr>
        <w:t xml:space="preserve"> expression of regenerating bone marrow. </w:t>
      </w:r>
    </w:p>
    <w:p w:rsidR="007D1148" w:rsidRDefault="00F36DDC" w:rsidP="00A27F70">
      <w:pPr>
        <w:spacing w:after="0"/>
        <w:rPr>
          <w:sz w:val="24"/>
          <w:szCs w:val="24"/>
          <w:lang w:val="en-US"/>
        </w:rPr>
      </w:pPr>
      <w:r w:rsidRPr="00D32A09">
        <w:rPr>
          <w:sz w:val="24"/>
          <w:szCs w:val="24"/>
          <w:lang w:val="en-US"/>
        </w:rPr>
        <w:t>Verify the characteristics of the LAIP+ cells by back-gating the LAIP+ cells in the density plots FSC/SSC and CD45/SSC. LAIP+ cells in these plots should be clustered and preferably similar to diagnosis. Exclude the cells with other characteristics not defined by the selected population of interest.</w:t>
      </w:r>
    </w:p>
    <w:p w:rsidR="003D2148" w:rsidRDefault="003D2148" w:rsidP="00A27F70">
      <w:pPr>
        <w:spacing w:after="0"/>
        <w:rPr>
          <w:sz w:val="24"/>
          <w:szCs w:val="24"/>
          <w:lang w:val="en-US"/>
        </w:rPr>
      </w:pPr>
    </w:p>
    <w:p w:rsidR="00BD1959" w:rsidRDefault="00BD1959">
      <w:pPr>
        <w:rPr>
          <w:b/>
          <w:lang w:val="en-US"/>
        </w:rPr>
      </w:pPr>
      <w:r>
        <w:rPr>
          <w:b/>
          <w:lang w:val="en-US"/>
        </w:rPr>
        <w:br w:type="page"/>
      </w:r>
    </w:p>
    <w:p w:rsidR="003D2148" w:rsidRPr="00BD1959" w:rsidRDefault="00AD0679" w:rsidP="003D2148">
      <w:pPr>
        <w:rPr>
          <w:b/>
          <w:sz w:val="24"/>
          <w:szCs w:val="24"/>
          <w:lang w:val="en-US"/>
        </w:rPr>
      </w:pPr>
      <w:r w:rsidRPr="00BD1959">
        <w:rPr>
          <w:b/>
          <w:sz w:val="24"/>
          <w:szCs w:val="24"/>
          <w:lang w:val="en-US"/>
        </w:rPr>
        <w:lastRenderedPageBreak/>
        <w:t>Strategies</w:t>
      </w:r>
      <w:r w:rsidR="003D2148" w:rsidRPr="00BD1959">
        <w:rPr>
          <w:b/>
          <w:sz w:val="24"/>
          <w:szCs w:val="24"/>
          <w:lang w:val="en-US"/>
        </w:rPr>
        <w:t xml:space="preserve"> for setting the cut-off for CD34+/CD38</w:t>
      </w:r>
      <w:r w:rsidR="003D2148" w:rsidRPr="00BD1959">
        <w:rPr>
          <w:b/>
          <w:sz w:val="24"/>
          <w:szCs w:val="24"/>
          <w:vertAlign w:val="superscript"/>
          <w:lang w:val="en-US"/>
        </w:rPr>
        <w:t>low</w:t>
      </w:r>
      <w:r w:rsidR="003D2148" w:rsidRPr="00BD1959">
        <w:rPr>
          <w:b/>
          <w:sz w:val="24"/>
          <w:szCs w:val="24"/>
          <w:lang w:val="en-US"/>
        </w:rPr>
        <w:t xml:space="preserve"> and CD34+/CD38</w:t>
      </w:r>
      <w:r w:rsidR="003D2148" w:rsidRPr="00BD1959">
        <w:rPr>
          <w:b/>
          <w:sz w:val="24"/>
          <w:szCs w:val="24"/>
          <w:vertAlign w:val="superscript"/>
          <w:lang w:val="en-US"/>
        </w:rPr>
        <w:t>very low</w:t>
      </w:r>
    </w:p>
    <w:p w:rsidR="003D2148" w:rsidRPr="00BD1959" w:rsidRDefault="003D2148" w:rsidP="003D2148">
      <w:pPr>
        <w:rPr>
          <w:sz w:val="24"/>
          <w:szCs w:val="24"/>
          <w:lang w:val="en-US"/>
        </w:rPr>
      </w:pPr>
      <w:r w:rsidRPr="00BD1959">
        <w:rPr>
          <w:sz w:val="24"/>
          <w:szCs w:val="24"/>
          <w:lang w:val="en-US"/>
        </w:rPr>
        <w:t>The setting of the CD38 negative gates are difficult to define in a clearly objective way. Still we think it is necessary to distinguish the LSC with high purity. The CD38</w:t>
      </w:r>
      <w:r w:rsidRPr="00BD1959">
        <w:rPr>
          <w:sz w:val="24"/>
          <w:szCs w:val="24"/>
          <w:vertAlign w:val="superscript"/>
          <w:lang w:val="en-US"/>
        </w:rPr>
        <w:t xml:space="preserve">low </w:t>
      </w:r>
      <w:r w:rsidRPr="00BD1959">
        <w:rPr>
          <w:sz w:val="24"/>
          <w:szCs w:val="24"/>
          <w:lang w:val="en-US"/>
        </w:rPr>
        <w:t>population may be contaminated with more progenitor like cells, while the CD34+/CD38</w:t>
      </w:r>
      <w:r w:rsidRPr="00BD1959">
        <w:rPr>
          <w:sz w:val="24"/>
          <w:szCs w:val="24"/>
          <w:vertAlign w:val="superscript"/>
          <w:lang w:val="en-US"/>
        </w:rPr>
        <w:t>very low</w:t>
      </w:r>
      <w:r w:rsidRPr="00BD1959">
        <w:rPr>
          <w:sz w:val="24"/>
          <w:szCs w:val="24"/>
          <w:lang w:val="en-US"/>
        </w:rPr>
        <w:t xml:space="preserve"> are most probably predominantly LSC.</w:t>
      </w:r>
    </w:p>
    <w:p w:rsidR="003D2148" w:rsidRPr="00BD1959" w:rsidRDefault="003D2148" w:rsidP="00387948">
      <w:pPr>
        <w:spacing w:after="0"/>
        <w:rPr>
          <w:sz w:val="24"/>
          <w:szCs w:val="24"/>
          <w:lang w:val="en-US"/>
        </w:rPr>
      </w:pPr>
      <w:r w:rsidRPr="00BD1959">
        <w:rPr>
          <w:sz w:val="24"/>
          <w:szCs w:val="24"/>
          <w:lang w:val="en-US"/>
        </w:rPr>
        <w:t>We have used 3 different approaches to set the boundaries:</w:t>
      </w:r>
    </w:p>
    <w:p w:rsidR="003D2148" w:rsidRPr="00BD1959" w:rsidRDefault="003D2148" w:rsidP="00387948">
      <w:pPr>
        <w:spacing w:after="0"/>
        <w:rPr>
          <w:rFonts w:ascii="Calibri" w:hAnsi="Calibri" w:cs="Calibri"/>
          <w:i/>
          <w:sz w:val="24"/>
          <w:szCs w:val="24"/>
          <w:lang w:val="en-US"/>
        </w:rPr>
      </w:pPr>
      <w:r w:rsidRPr="00BD1959">
        <w:rPr>
          <w:i/>
          <w:sz w:val="24"/>
          <w:szCs w:val="24"/>
          <w:lang w:val="en-US"/>
        </w:rPr>
        <w:t xml:space="preserve">1) </w:t>
      </w:r>
      <w:proofErr w:type="spellStart"/>
      <w:r w:rsidRPr="00BD1959">
        <w:rPr>
          <w:i/>
          <w:sz w:val="24"/>
          <w:szCs w:val="24"/>
          <w:lang w:val="en-US"/>
        </w:rPr>
        <w:t>S</w:t>
      </w:r>
      <w:r w:rsidRPr="00BD1959">
        <w:rPr>
          <w:rFonts w:ascii="Calibri" w:hAnsi="Calibri" w:cs="Calibri"/>
          <w:i/>
          <w:sz w:val="24"/>
          <w:szCs w:val="24"/>
          <w:lang w:val="en-US"/>
        </w:rPr>
        <w:t>pherotech</w:t>
      </w:r>
      <w:proofErr w:type="spellEnd"/>
      <w:r w:rsidRPr="00BD1959">
        <w:rPr>
          <w:rFonts w:ascii="Calibri" w:hAnsi="Calibri" w:cs="Calibri"/>
          <w:i/>
          <w:sz w:val="24"/>
          <w:szCs w:val="24"/>
          <w:lang w:val="en-US"/>
        </w:rPr>
        <w:t xml:space="preserve"> beads</w:t>
      </w:r>
    </w:p>
    <w:p w:rsidR="00F60AC5" w:rsidRPr="00BD1959" w:rsidRDefault="003D2148" w:rsidP="00387948">
      <w:pPr>
        <w:spacing w:after="0"/>
        <w:rPr>
          <w:rFonts w:ascii="Calibri" w:hAnsi="Calibri" w:cs="Calibri"/>
          <w:sz w:val="24"/>
          <w:szCs w:val="24"/>
          <w:lang w:val="en-US"/>
        </w:rPr>
      </w:pPr>
      <w:r w:rsidRPr="00BD1959">
        <w:rPr>
          <w:rFonts w:ascii="Calibri" w:hAnsi="Calibri" w:cs="Calibri"/>
          <w:sz w:val="24"/>
          <w:szCs w:val="24"/>
          <w:lang w:val="en-US"/>
        </w:rPr>
        <w:t>From several different types of beads these were the most suitable in our protocol. Using this type of beads in the settings of our apparatus we could use the upper and lower borders of the beads as cut-off for CD34+/CD38</w:t>
      </w:r>
      <w:r w:rsidRPr="00BD1959">
        <w:rPr>
          <w:rFonts w:ascii="Calibri" w:hAnsi="Calibri" w:cs="Calibri"/>
          <w:sz w:val="24"/>
          <w:szCs w:val="24"/>
          <w:vertAlign w:val="superscript"/>
          <w:lang w:val="en-US"/>
        </w:rPr>
        <w:t>low</w:t>
      </w:r>
      <w:r w:rsidRPr="00BD1959">
        <w:rPr>
          <w:rFonts w:ascii="Calibri" w:hAnsi="Calibri" w:cs="Calibri"/>
          <w:sz w:val="24"/>
          <w:szCs w:val="24"/>
          <w:lang w:val="en-US"/>
        </w:rPr>
        <w:t xml:space="preserve"> and CD34+/CD38</w:t>
      </w:r>
      <w:r w:rsidRPr="00BD1959">
        <w:rPr>
          <w:rFonts w:ascii="Calibri" w:hAnsi="Calibri" w:cs="Calibri"/>
          <w:sz w:val="24"/>
          <w:szCs w:val="24"/>
          <w:vertAlign w:val="superscript"/>
          <w:lang w:val="en-US"/>
        </w:rPr>
        <w:t>very low</w:t>
      </w:r>
      <w:r w:rsidRPr="00BD1959">
        <w:rPr>
          <w:rFonts w:ascii="Calibri" w:hAnsi="Calibri" w:cs="Calibri"/>
          <w:sz w:val="24"/>
          <w:szCs w:val="24"/>
          <w:lang w:val="en-US"/>
        </w:rPr>
        <w:t xml:space="preserve"> respectively</w:t>
      </w:r>
      <w:r w:rsidR="00A96D03" w:rsidRPr="00BD1959">
        <w:rPr>
          <w:rFonts w:ascii="Calibri" w:hAnsi="Calibri" w:cs="Calibri"/>
          <w:sz w:val="24"/>
          <w:szCs w:val="24"/>
          <w:lang w:val="en-US"/>
        </w:rPr>
        <w:t xml:space="preserve"> (see orange cells in Figure S3)</w:t>
      </w:r>
      <w:r w:rsidRPr="00BD1959">
        <w:rPr>
          <w:rFonts w:ascii="Calibri" w:hAnsi="Calibri" w:cs="Calibri"/>
          <w:sz w:val="24"/>
          <w:szCs w:val="24"/>
          <w:lang w:val="en-US"/>
        </w:rPr>
        <w:t>.</w:t>
      </w:r>
      <w:r w:rsidR="00AD0679" w:rsidRPr="00BD1959">
        <w:rPr>
          <w:rFonts w:ascii="Calibri" w:hAnsi="Calibri" w:cs="Calibri"/>
          <w:sz w:val="24"/>
          <w:szCs w:val="24"/>
          <w:lang w:val="en-US"/>
        </w:rPr>
        <w:t xml:space="preserve"> </w:t>
      </w:r>
    </w:p>
    <w:p w:rsidR="003D2148" w:rsidRPr="00BD1959" w:rsidRDefault="003D2148" w:rsidP="00387948">
      <w:pPr>
        <w:spacing w:after="0"/>
        <w:rPr>
          <w:rFonts w:ascii="Calibri" w:hAnsi="Calibri" w:cs="Calibri"/>
          <w:i/>
          <w:sz w:val="24"/>
          <w:szCs w:val="24"/>
          <w:lang w:val="en-US"/>
        </w:rPr>
      </w:pPr>
      <w:r w:rsidRPr="00BD1959">
        <w:rPr>
          <w:rFonts w:ascii="Calibri" w:hAnsi="Calibri" w:cs="Calibri"/>
          <w:i/>
          <w:sz w:val="24"/>
          <w:szCs w:val="24"/>
          <w:lang w:val="en-US"/>
        </w:rPr>
        <w:t>2) Red fraction</w:t>
      </w:r>
    </w:p>
    <w:p w:rsidR="00AD0679" w:rsidRPr="00BD1959" w:rsidRDefault="00AD0679" w:rsidP="00387948">
      <w:pPr>
        <w:spacing w:after="0"/>
        <w:rPr>
          <w:rFonts w:ascii="Calibri" w:hAnsi="Calibri" w:cs="Calibri"/>
          <w:sz w:val="24"/>
          <w:szCs w:val="24"/>
          <w:lang w:val="en-US"/>
        </w:rPr>
      </w:pPr>
      <w:r w:rsidRPr="00BD1959">
        <w:rPr>
          <w:rFonts w:ascii="Calibri" w:hAnsi="Calibri" w:cs="Calibri"/>
          <w:sz w:val="24"/>
          <w:szCs w:val="24"/>
          <w:lang w:val="en-US"/>
        </w:rPr>
        <w:t>The advantage of using the red fraction is the fact that it is almost always present in the sample. The cut-offs are however relatively arbitrary. We used the upper border of the red fraction as CD38</w:t>
      </w:r>
      <w:r w:rsidRPr="00BD1959">
        <w:rPr>
          <w:rFonts w:ascii="Calibri" w:hAnsi="Calibri" w:cs="Calibri"/>
          <w:sz w:val="24"/>
          <w:szCs w:val="24"/>
          <w:vertAlign w:val="superscript"/>
          <w:lang w:val="en-US"/>
        </w:rPr>
        <w:t xml:space="preserve">low </w:t>
      </w:r>
      <w:r w:rsidRPr="00BD1959">
        <w:rPr>
          <w:rFonts w:ascii="Calibri" w:hAnsi="Calibri" w:cs="Calibri"/>
          <w:sz w:val="24"/>
          <w:szCs w:val="24"/>
          <w:lang w:val="en-US"/>
        </w:rPr>
        <w:t>border and the median of the red fraction as the CD38</w:t>
      </w:r>
      <w:r w:rsidRPr="00BD1959">
        <w:rPr>
          <w:rFonts w:ascii="Calibri" w:hAnsi="Calibri" w:cs="Calibri"/>
          <w:sz w:val="24"/>
          <w:szCs w:val="24"/>
          <w:vertAlign w:val="superscript"/>
          <w:lang w:val="en-US"/>
        </w:rPr>
        <w:t xml:space="preserve">very low </w:t>
      </w:r>
      <w:r w:rsidRPr="00BD1959">
        <w:rPr>
          <w:rFonts w:ascii="Calibri" w:hAnsi="Calibri" w:cs="Calibri"/>
          <w:sz w:val="24"/>
          <w:szCs w:val="24"/>
          <w:lang w:val="en-US"/>
        </w:rPr>
        <w:t>border</w:t>
      </w:r>
      <w:r w:rsidR="00A96D03" w:rsidRPr="00BD1959">
        <w:rPr>
          <w:rFonts w:ascii="Calibri" w:hAnsi="Calibri" w:cs="Calibri"/>
          <w:sz w:val="24"/>
          <w:szCs w:val="24"/>
          <w:lang w:val="en-US"/>
        </w:rPr>
        <w:t xml:space="preserve"> (see the gray cells in Figure S3)</w:t>
      </w:r>
      <w:r w:rsidRPr="00BD1959">
        <w:rPr>
          <w:rFonts w:ascii="Calibri" w:hAnsi="Calibri" w:cs="Calibri"/>
          <w:sz w:val="24"/>
          <w:szCs w:val="24"/>
          <w:lang w:val="en-US"/>
        </w:rPr>
        <w:t xml:space="preserve">.  </w:t>
      </w:r>
    </w:p>
    <w:p w:rsidR="003D2148" w:rsidRPr="00BD1959" w:rsidRDefault="003D2148" w:rsidP="00387948">
      <w:pPr>
        <w:spacing w:after="0"/>
        <w:rPr>
          <w:rFonts w:ascii="Calibri" w:hAnsi="Calibri" w:cs="Calibri"/>
          <w:i/>
          <w:sz w:val="24"/>
          <w:szCs w:val="24"/>
          <w:lang w:val="en-US"/>
        </w:rPr>
      </w:pPr>
      <w:r w:rsidRPr="00BD1959">
        <w:rPr>
          <w:rFonts w:ascii="Calibri" w:hAnsi="Calibri" w:cs="Calibri"/>
          <w:i/>
          <w:sz w:val="24"/>
          <w:szCs w:val="24"/>
          <w:lang w:val="en-US"/>
        </w:rPr>
        <w:t>3) Set borders at MFI of 10</w:t>
      </w:r>
      <w:r w:rsidRPr="00BD1959">
        <w:rPr>
          <w:rFonts w:ascii="Calibri" w:hAnsi="Calibri" w:cs="Calibri"/>
          <w:i/>
          <w:sz w:val="24"/>
          <w:szCs w:val="24"/>
          <w:vertAlign w:val="superscript"/>
          <w:lang w:val="en-US"/>
        </w:rPr>
        <w:t>3</w:t>
      </w:r>
      <w:r w:rsidRPr="00BD1959">
        <w:rPr>
          <w:rFonts w:ascii="Calibri" w:hAnsi="Calibri" w:cs="Calibri"/>
          <w:i/>
          <w:sz w:val="24"/>
          <w:szCs w:val="24"/>
          <w:lang w:val="en-US"/>
        </w:rPr>
        <w:t xml:space="preserve"> and 10</w:t>
      </w:r>
      <w:r w:rsidRPr="00BD1959">
        <w:rPr>
          <w:rFonts w:ascii="Calibri" w:hAnsi="Calibri" w:cs="Calibri"/>
          <w:i/>
          <w:sz w:val="24"/>
          <w:szCs w:val="24"/>
          <w:vertAlign w:val="superscript"/>
          <w:lang w:val="en-US"/>
        </w:rPr>
        <w:t>2</w:t>
      </w:r>
    </w:p>
    <w:p w:rsidR="00A96D03" w:rsidRPr="00BD1959" w:rsidRDefault="003D2148" w:rsidP="003D2148">
      <w:pPr>
        <w:spacing w:after="0"/>
        <w:rPr>
          <w:rFonts w:ascii="Calibri" w:hAnsi="Calibri" w:cs="Calibri"/>
          <w:sz w:val="24"/>
          <w:szCs w:val="24"/>
          <w:lang w:val="en-US"/>
        </w:rPr>
      </w:pPr>
      <w:r w:rsidRPr="00BD1959">
        <w:rPr>
          <w:rFonts w:ascii="Calibri" w:hAnsi="Calibri" w:cs="Calibri"/>
          <w:sz w:val="24"/>
          <w:szCs w:val="24"/>
          <w:lang w:val="en-US"/>
        </w:rPr>
        <w:t xml:space="preserve">Based on all the experiments performed with approaches 1) and 2) we came to the conclusion that we always come up with </w:t>
      </w:r>
      <w:r w:rsidR="00F60AC5" w:rsidRPr="00BD1959">
        <w:rPr>
          <w:rFonts w:ascii="Calibri" w:hAnsi="Calibri" w:cs="Calibri"/>
          <w:sz w:val="24"/>
          <w:szCs w:val="24"/>
          <w:lang w:val="en-US"/>
        </w:rPr>
        <w:t>10</w:t>
      </w:r>
      <w:r w:rsidR="00F60AC5" w:rsidRPr="00BD1959">
        <w:rPr>
          <w:rFonts w:ascii="Calibri" w:hAnsi="Calibri" w:cs="Calibri"/>
          <w:sz w:val="24"/>
          <w:szCs w:val="24"/>
          <w:vertAlign w:val="superscript"/>
          <w:lang w:val="en-US"/>
        </w:rPr>
        <w:t>3</w:t>
      </w:r>
      <w:r w:rsidR="00F60AC5" w:rsidRPr="00BD1959">
        <w:rPr>
          <w:rFonts w:ascii="Calibri" w:hAnsi="Calibri" w:cs="Calibri"/>
          <w:sz w:val="24"/>
          <w:szCs w:val="24"/>
          <w:lang w:val="en-US"/>
        </w:rPr>
        <w:t xml:space="preserve"> and 10</w:t>
      </w:r>
      <w:r w:rsidR="00F60AC5" w:rsidRPr="00BD1959">
        <w:rPr>
          <w:rFonts w:ascii="Calibri" w:hAnsi="Calibri" w:cs="Calibri"/>
          <w:sz w:val="24"/>
          <w:szCs w:val="24"/>
          <w:vertAlign w:val="superscript"/>
          <w:lang w:val="en-US"/>
        </w:rPr>
        <w:t>2</w:t>
      </w:r>
      <w:r w:rsidR="00F60AC5" w:rsidRPr="00BD1959">
        <w:rPr>
          <w:rFonts w:ascii="Calibri" w:hAnsi="Calibri" w:cs="Calibri"/>
          <w:sz w:val="24"/>
          <w:szCs w:val="24"/>
          <w:lang w:val="en-US"/>
        </w:rPr>
        <w:t xml:space="preserve"> for CD38</w:t>
      </w:r>
      <w:r w:rsidR="00F60AC5" w:rsidRPr="00BD1959">
        <w:rPr>
          <w:rFonts w:ascii="Calibri" w:hAnsi="Calibri" w:cs="Calibri"/>
          <w:sz w:val="24"/>
          <w:szCs w:val="24"/>
          <w:vertAlign w:val="superscript"/>
          <w:lang w:val="en-US"/>
        </w:rPr>
        <w:t xml:space="preserve">low </w:t>
      </w:r>
      <w:r w:rsidR="00F60AC5" w:rsidRPr="00BD1959">
        <w:rPr>
          <w:rFonts w:ascii="Calibri" w:hAnsi="Calibri" w:cs="Calibri"/>
          <w:sz w:val="24"/>
          <w:szCs w:val="24"/>
          <w:lang w:val="en-US"/>
        </w:rPr>
        <w:t xml:space="preserve"> and CD38</w:t>
      </w:r>
      <w:r w:rsidR="00F60AC5" w:rsidRPr="00BD1959">
        <w:rPr>
          <w:rFonts w:ascii="Calibri" w:hAnsi="Calibri" w:cs="Calibri"/>
          <w:sz w:val="24"/>
          <w:szCs w:val="24"/>
          <w:vertAlign w:val="superscript"/>
          <w:lang w:val="en-US"/>
        </w:rPr>
        <w:t xml:space="preserve">very low </w:t>
      </w:r>
      <w:r w:rsidR="00F60AC5" w:rsidRPr="00BD1959">
        <w:rPr>
          <w:rFonts w:ascii="Calibri" w:hAnsi="Calibri" w:cs="Calibri"/>
          <w:sz w:val="24"/>
          <w:szCs w:val="24"/>
          <w:lang w:val="en-US"/>
        </w:rPr>
        <w:t>respectively</w:t>
      </w:r>
      <w:r w:rsidRPr="00BD1959">
        <w:rPr>
          <w:rFonts w:ascii="Calibri" w:hAnsi="Calibri" w:cs="Calibri"/>
          <w:sz w:val="24"/>
          <w:szCs w:val="24"/>
          <w:lang w:val="en-US"/>
        </w:rPr>
        <w:t xml:space="preserve">. Indeed we found that with </w:t>
      </w:r>
      <w:r w:rsidR="00F60AC5" w:rsidRPr="00BD1959">
        <w:rPr>
          <w:rFonts w:ascii="Calibri" w:hAnsi="Calibri" w:cs="Calibri"/>
          <w:sz w:val="24"/>
          <w:szCs w:val="24"/>
          <w:lang w:val="en-US"/>
        </w:rPr>
        <w:t xml:space="preserve">the described </w:t>
      </w:r>
      <w:r w:rsidRPr="00BD1959">
        <w:rPr>
          <w:rFonts w:ascii="Calibri" w:hAnsi="Calibri" w:cs="Calibri"/>
          <w:sz w:val="24"/>
          <w:szCs w:val="24"/>
          <w:lang w:val="en-US"/>
        </w:rPr>
        <w:t xml:space="preserve">instrument settings  these borders could be used in a multicenter </w:t>
      </w:r>
      <w:r w:rsidR="00F60AC5" w:rsidRPr="00BD1959">
        <w:rPr>
          <w:rFonts w:ascii="Calibri" w:hAnsi="Calibri" w:cs="Calibri"/>
          <w:sz w:val="24"/>
          <w:szCs w:val="24"/>
          <w:lang w:val="en-US"/>
        </w:rPr>
        <w:t xml:space="preserve">study (Hanekamp et al. Br. J. </w:t>
      </w:r>
      <w:proofErr w:type="spellStart"/>
      <w:r w:rsidR="00F60AC5" w:rsidRPr="00BD1959">
        <w:rPr>
          <w:rFonts w:ascii="Calibri" w:hAnsi="Calibri" w:cs="Calibri"/>
          <w:sz w:val="24"/>
          <w:szCs w:val="24"/>
          <w:lang w:val="en-US"/>
        </w:rPr>
        <w:t>Haematology</w:t>
      </w:r>
      <w:proofErr w:type="spellEnd"/>
      <w:r w:rsidR="00F60AC5" w:rsidRPr="00BD1959">
        <w:rPr>
          <w:rFonts w:ascii="Calibri" w:hAnsi="Calibri" w:cs="Calibri"/>
          <w:sz w:val="24"/>
          <w:szCs w:val="24"/>
          <w:lang w:val="en-US"/>
        </w:rPr>
        <w:t>, 2017, In press)</w:t>
      </w:r>
      <w:r w:rsidR="00AD0679" w:rsidRPr="00BD1959">
        <w:rPr>
          <w:rFonts w:ascii="Calibri" w:hAnsi="Calibri" w:cs="Calibri"/>
          <w:sz w:val="24"/>
          <w:szCs w:val="24"/>
          <w:lang w:val="en-US"/>
        </w:rPr>
        <w:t xml:space="preserve">. </w:t>
      </w:r>
    </w:p>
    <w:p w:rsidR="00F60AC5" w:rsidRDefault="00F60AC5" w:rsidP="003D2148">
      <w:pPr>
        <w:spacing w:after="0"/>
        <w:rPr>
          <w:rFonts w:ascii="Calibri" w:hAnsi="Calibri" w:cs="Calibri"/>
          <w:lang w:val="en-US"/>
        </w:rPr>
      </w:pPr>
    </w:p>
    <w:p w:rsidR="00A96D03" w:rsidRDefault="00F60AC5" w:rsidP="003D2148">
      <w:pPr>
        <w:spacing w:after="0"/>
        <w:rPr>
          <w:sz w:val="24"/>
          <w:szCs w:val="24"/>
          <w:lang w:val="en-US"/>
        </w:rPr>
      </w:pPr>
      <w:r w:rsidRPr="00F60AC5">
        <w:rPr>
          <w:noProof/>
          <w:sz w:val="24"/>
          <w:szCs w:val="24"/>
          <w:lang w:eastAsia="nl-NL"/>
        </w:rPr>
        <mc:AlternateContent>
          <mc:Choice Requires="wps">
            <w:drawing>
              <wp:anchor distT="0" distB="0" distL="114300" distR="114300" simplePos="0" relativeHeight="251664384" behindDoc="0" locked="0" layoutInCell="1" allowOverlap="1" wp14:anchorId="102A0A39" wp14:editId="37D6F577">
                <wp:simplePos x="0" y="0"/>
                <wp:positionH relativeFrom="column">
                  <wp:posOffset>3895729</wp:posOffset>
                </wp:positionH>
                <wp:positionV relativeFrom="paragraph">
                  <wp:posOffset>84723</wp:posOffset>
                </wp:positionV>
                <wp:extent cx="280491" cy="269271"/>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91" cy="269271"/>
                        </a:xfrm>
                        <a:prstGeom prst="rect">
                          <a:avLst/>
                        </a:prstGeom>
                        <a:solidFill>
                          <a:srgbClr val="FFFFFF"/>
                        </a:solidFill>
                        <a:ln w="9525">
                          <a:noFill/>
                          <a:miter lim="800000"/>
                          <a:headEnd/>
                          <a:tailEnd/>
                        </a:ln>
                      </wps:spPr>
                      <wps:txbx>
                        <w:txbxContent>
                          <w:p w:rsidR="00F60AC5" w:rsidRPr="00F60AC5" w:rsidRDefault="00F60AC5" w:rsidP="00F60AC5">
                            <w:pPr>
                              <w:rPr>
                                <w:lang w:val="en-US"/>
                              </w:rPr>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75pt;margin-top:6.65pt;width:22.1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" stroked="f">
                <v:textbox>
                  <w:txbxContent>
                    <w:p w:rsidR="00F60AC5" w:rsidRPr="00F60AC5" w:rsidRDefault="00F60AC5" w:rsidP="00F60AC5">
                      <w:pPr>
                        <w:rPr>
                          <w:lang w:val="en-US"/>
                        </w:rPr>
                      </w:pPr>
                      <w:r>
                        <w:t>B</w:t>
                      </w:r>
                    </w:p>
                  </w:txbxContent>
                </v:textbox>
              </v:shape>
            </w:pict>
          </mc:Fallback>
        </mc:AlternateContent>
      </w:r>
      <w:r w:rsidRPr="00F60AC5">
        <w:rPr>
          <w:noProof/>
          <w:sz w:val="24"/>
          <w:szCs w:val="24"/>
          <w:lang w:eastAsia="nl-NL"/>
        </w:rPr>
        <mc:AlternateContent>
          <mc:Choice Requires="wps">
            <w:drawing>
              <wp:anchor distT="0" distB="0" distL="114300" distR="114300" simplePos="0" relativeHeight="251662336" behindDoc="0" locked="0" layoutInCell="1" allowOverlap="1" wp14:anchorId="050D6884" wp14:editId="6E6F35CA">
                <wp:simplePos x="0" y="0"/>
                <wp:positionH relativeFrom="column">
                  <wp:posOffset>1880878</wp:posOffset>
                </wp:positionH>
                <wp:positionV relativeFrom="paragraph">
                  <wp:posOffset>84147</wp:posOffset>
                </wp:positionV>
                <wp:extent cx="280491" cy="269271"/>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91" cy="269271"/>
                        </a:xfrm>
                        <a:prstGeom prst="rect">
                          <a:avLst/>
                        </a:prstGeom>
                        <a:solidFill>
                          <a:srgbClr val="FFFFFF"/>
                        </a:solidFill>
                        <a:ln w="9525">
                          <a:noFill/>
                          <a:miter lim="800000"/>
                          <a:headEnd/>
                          <a:tailEnd/>
                        </a:ln>
                      </wps:spPr>
                      <wps:txbx>
                        <w:txbxContent>
                          <w:p w:rsidR="00F60AC5" w:rsidRPr="00F60AC5" w:rsidRDefault="00F60AC5">
                            <w:pPr>
                              <w:rPr>
                                <w:lang w:val="en-US"/>
                              </w:rPr>
                            </w:pPr>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8.1pt;margin-top:6.65pt;width:22.1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5iIgIAACM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" stroked="f">
                <v:textbox>
                  <w:txbxContent>
                    <w:p w:rsidR="00F60AC5" w:rsidRPr="00F60AC5" w:rsidRDefault="00F60AC5">
                      <w:pPr>
                        <w:rPr>
                          <w:lang w:val="en-US"/>
                        </w:rPr>
                      </w:pPr>
                      <w:r>
                        <w:t>A</w:t>
                      </w:r>
                    </w:p>
                  </w:txbxContent>
                </v:textbox>
              </v:shape>
            </w:pict>
          </mc:Fallback>
        </mc:AlternateContent>
      </w:r>
      <w:r w:rsidR="00A96D03">
        <w:rPr>
          <w:noProof/>
          <w:sz w:val="24"/>
          <w:szCs w:val="24"/>
          <w:lang w:eastAsia="nl-NL"/>
        </w:rPr>
        <w:drawing>
          <wp:anchor distT="0" distB="0" distL="114300" distR="114300" simplePos="0" relativeHeight="251660288" behindDoc="0" locked="0" layoutInCell="1" allowOverlap="1" wp14:anchorId="04D690DC" wp14:editId="367FFAA6">
            <wp:simplePos x="0" y="0"/>
            <wp:positionH relativeFrom="column">
              <wp:posOffset>3509010</wp:posOffset>
            </wp:positionH>
            <wp:positionV relativeFrom="paragraph">
              <wp:posOffset>-98955</wp:posOffset>
            </wp:positionV>
            <wp:extent cx="2361733" cy="2126064"/>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1733" cy="2126064"/>
                    </a:xfrm>
                    <a:prstGeom prst="rect">
                      <a:avLst/>
                    </a:prstGeom>
                    <a:noFill/>
                    <a:ln>
                      <a:noFill/>
                    </a:ln>
                  </pic:spPr>
                </pic:pic>
              </a:graphicData>
            </a:graphic>
            <wp14:sizeRelH relativeFrom="page">
              <wp14:pctWidth>0</wp14:pctWidth>
            </wp14:sizeRelH>
            <wp14:sizeRelV relativeFrom="page">
              <wp14:pctHeight>0</wp14:pctHeight>
            </wp14:sizeRelV>
          </wp:anchor>
        </w:drawing>
      </w:r>
      <w:r w:rsidR="00A96D03">
        <w:rPr>
          <w:noProof/>
          <w:sz w:val="24"/>
          <w:szCs w:val="24"/>
          <w:lang w:eastAsia="nl-NL"/>
        </w:rPr>
        <w:drawing>
          <wp:inline distT="0" distB="0" distL="0" distR="0" wp14:anchorId="501CD825" wp14:editId="7D9CD64F">
            <wp:extent cx="3769795" cy="2070022"/>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9776"/>
                    <a:stretch/>
                  </pic:blipFill>
                  <pic:spPr bwMode="auto">
                    <a:xfrm>
                      <a:off x="0" y="0"/>
                      <a:ext cx="3769306" cy="2069753"/>
                    </a:xfrm>
                    <a:prstGeom prst="rect">
                      <a:avLst/>
                    </a:prstGeom>
                    <a:noFill/>
                    <a:ln>
                      <a:noFill/>
                    </a:ln>
                    <a:extLst>
                      <a:ext uri="{53640926-AAD7-44D8-BBD7-CCE9431645EC}">
                        <a14:shadowObscured xmlns:a14="http://schemas.microsoft.com/office/drawing/2010/main"/>
                      </a:ext>
                    </a:extLst>
                  </pic:spPr>
                </pic:pic>
              </a:graphicData>
            </a:graphic>
          </wp:inline>
        </w:drawing>
      </w:r>
      <w:r w:rsidR="00A96D03">
        <w:rPr>
          <w:noProof/>
          <w:sz w:val="24"/>
          <w:szCs w:val="24"/>
          <w:lang w:eastAsia="nl-NL"/>
        </w:rPr>
        <w:drawing>
          <wp:inline distT="0" distB="0" distL="0" distR="0">
            <wp:extent cx="5760720" cy="2675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67527"/>
                    </a:xfrm>
                    <a:prstGeom prst="rect">
                      <a:avLst/>
                    </a:prstGeom>
                    <a:noFill/>
                    <a:ln>
                      <a:noFill/>
                    </a:ln>
                  </pic:spPr>
                </pic:pic>
              </a:graphicData>
            </a:graphic>
          </wp:inline>
        </w:drawing>
      </w:r>
    </w:p>
    <w:p w:rsidR="00A96D03" w:rsidRDefault="00A96D03" w:rsidP="003D2148">
      <w:pPr>
        <w:spacing w:after="0"/>
        <w:rPr>
          <w:sz w:val="24"/>
          <w:szCs w:val="24"/>
          <w:lang w:val="en-US"/>
        </w:rPr>
      </w:pPr>
    </w:p>
    <w:p w:rsidR="00A96D03" w:rsidRPr="00BD1959" w:rsidRDefault="00A96D03" w:rsidP="003D2148">
      <w:pPr>
        <w:spacing w:after="0"/>
        <w:rPr>
          <w:b/>
          <w:sz w:val="24"/>
          <w:szCs w:val="24"/>
          <w:lang w:val="en-US"/>
        </w:rPr>
      </w:pPr>
      <w:r w:rsidRPr="00BD1959">
        <w:rPr>
          <w:b/>
          <w:sz w:val="24"/>
          <w:szCs w:val="24"/>
          <w:lang w:val="en-US"/>
        </w:rPr>
        <w:t>Figure S3. LSC gating. A) CD38</w:t>
      </w:r>
      <w:r w:rsidRPr="00BD1959">
        <w:rPr>
          <w:b/>
          <w:sz w:val="24"/>
          <w:szCs w:val="24"/>
          <w:vertAlign w:val="superscript"/>
          <w:lang w:val="en-US"/>
        </w:rPr>
        <w:t>low</w:t>
      </w:r>
      <w:r w:rsidRPr="00BD1959">
        <w:rPr>
          <w:b/>
          <w:sz w:val="24"/>
          <w:szCs w:val="24"/>
          <w:lang w:val="en-US"/>
        </w:rPr>
        <w:t xml:space="preserve"> border and B) CD38</w:t>
      </w:r>
      <w:r w:rsidRPr="00BD1959">
        <w:rPr>
          <w:b/>
          <w:sz w:val="24"/>
          <w:szCs w:val="24"/>
          <w:vertAlign w:val="superscript"/>
          <w:lang w:val="en-US"/>
        </w:rPr>
        <w:t>very low</w:t>
      </w:r>
      <w:r w:rsidRPr="00BD1959">
        <w:rPr>
          <w:b/>
          <w:sz w:val="24"/>
          <w:szCs w:val="24"/>
          <w:lang w:val="en-US"/>
        </w:rPr>
        <w:t xml:space="preserve"> border</w:t>
      </w:r>
    </w:p>
    <w:sectPr w:rsidR="00A96D03" w:rsidRPr="00BD1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A75"/>
    <w:multiLevelType w:val="hybridMultilevel"/>
    <w:tmpl w:val="2F182138"/>
    <w:lvl w:ilvl="0" w:tplc="BD1E9D26">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260641C"/>
    <w:multiLevelType w:val="hybridMultilevel"/>
    <w:tmpl w:val="BEDA4230"/>
    <w:lvl w:ilvl="0" w:tplc="BD1E9D26">
      <w:start w:val="1"/>
      <w:numFmt w:val="bullet"/>
      <w:lvlText w:val="•"/>
      <w:lvlJc w:val="left"/>
      <w:pPr>
        <w:tabs>
          <w:tab w:val="num" w:pos="360"/>
        </w:tabs>
        <w:ind w:left="360" w:hanging="360"/>
      </w:pPr>
      <w:rPr>
        <w:rFonts w:ascii="Times New Roman" w:hAnsi="Times New Roman" w:hint="default"/>
      </w:rPr>
    </w:lvl>
    <w:lvl w:ilvl="1" w:tplc="4CFA74C4" w:tentative="1">
      <w:start w:val="1"/>
      <w:numFmt w:val="bullet"/>
      <w:lvlText w:val="•"/>
      <w:lvlJc w:val="left"/>
      <w:pPr>
        <w:tabs>
          <w:tab w:val="num" w:pos="1080"/>
        </w:tabs>
        <w:ind w:left="1080" w:hanging="360"/>
      </w:pPr>
      <w:rPr>
        <w:rFonts w:ascii="Times New Roman" w:hAnsi="Times New Roman" w:hint="default"/>
      </w:rPr>
    </w:lvl>
    <w:lvl w:ilvl="2" w:tplc="EAEAA604" w:tentative="1">
      <w:start w:val="1"/>
      <w:numFmt w:val="bullet"/>
      <w:lvlText w:val="•"/>
      <w:lvlJc w:val="left"/>
      <w:pPr>
        <w:tabs>
          <w:tab w:val="num" w:pos="1800"/>
        </w:tabs>
        <w:ind w:left="1800" w:hanging="360"/>
      </w:pPr>
      <w:rPr>
        <w:rFonts w:ascii="Times New Roman" w:hAnsi="Times New Roman" w:hint="default"/>
      </w:rPr>
    </w:lvl>
    <w:lvl w:ilvl="3" w:tplc="703894A4" w:tentative="1">
      <w:start w:val="1"/>
      <w:numFmt w:val="bullet"/>
      <w:lvlText w:val="•"/>
      <w:lvlJc w:val="left"/>
      <w:pPr>
        <w:tabs>
          <w:tab w:val="num" w:pos="2520"/>
        </w:tabs>
        <w:ind w:left="2520" w:hanging="360"/>
      </w:pPr>
      <w:rPr>
        <w:rFonts w:ascii="Times New Roman" w:hAnsi="Times New Roman" w:hint="default"/>
      </w:rPr>
    </w:lvl>
    <w:lvl w:ilvl="4" w:tplc="FBF0BAA4" w:tentative="1">
      <w:start w:val="1"/>
      <w:numFmt w:val="bullet"/>
      <w:lvlText w:val="•"/>
      <w:lvlJc w:val="left"/>
      <w:pPr>
        <w:tabs>
          <w:tab w:val="num" w:pos="3240"/>
        </w:tabs>
        <w:ind w:left="3240" w:hanging="360"/>
      </w:pPr>
      <w:rPr>
        <w:rFonts w:ascii="Times New Roman" w:hAnsi="Times New Roman" w:hint="default"/>
      </w:rPr>
    </w:lvl>
    <w:lvl w:ilvl="5" w:tplc="D0284CA0" w:tentative="1">
      <w:start w:val="1"/>
      <w:numFmt w:val="bullet"/>
      <w:lvlText w:val="•"/>
      <w:lvlJc w:val="left"/>
      <w:pPr>
        <w:tabs>
          <w:tab w:val="num" w:pos="3960"/>
        </w:tabs>
        <w:ind w:left="3960" w:hanging="360"/>
      </w:pPr>
      <w:rPr>
        <w:rFonts w:ascii="Times New Roman" w:hAnsi="Times New Roman" w:hint="default"/>
      </w:rPr>
    </w:lvl>
    <w:lvl w:ilvl="6" w:tplc="277ABF40" w:tentative="1">
      <w:start w:val="1"/>
      <w:numFmt w:val="bullet"/>
      <w:lvlText w:val="•"/>
      <w:lvlJc w:val="left"/>
      <w:pPr>
        <w:tabs>
          <w:tab w:val="num" w:pos="4680"/>
        </w:tabs>
        <w:ind w:left="4680" w:hanging="360"/>
      </w:pPr>
      <w:rPr>
        <w:rFonts w:ascii="Times New Roman" w:hAnsi="Times New Roman" w:hint="default"/>
      </w:rPr>
    </w:lvl>
    <w:lvl w:ilvl="7" w:tplc="B6543AA2" w:tentative="1">
      <w:start w:val="1"/>
      <w:numFmt w:val="bullet"/>
      <w:lvlText w:val="•"/>
      <w:lvlJc w:val="left"/>
      <w:pPr>
        <w:tabs>
          <w:tab w:val="num" w:pos="5400"/>
        </w:tabs>
        <w:ind w:left="5400" w:hanging="360"/>
      </w:pPr>
      <w:rPr>
        <w:rFonts w:ascii="Times New Roman" w:hAnsi="Times New Roman" w:hint="default"/>
      </w:rPr>
    </w:lvl>
    <w:lvl w:ilvl="8" w:tplc="C61E0AC8" w:tentative="1">
      <w:start w:val="1"/>
      <w:numFmt w:val="bullet"/>
      <w:lvlText w:val="•"/>
      <w:lvlJc w:val="left"/>
      <w:pPr>
        <w:tabs>
          <w:tab w:val="num" w:pos="6120"/>
        </w:tabs>
        <w:ind w:left="6120" w:hanging="360"/>
      </w:pPr>
      <w:rPr>
        <w:rFonts w:ascii="Times New Roman" w:hAnsi="Times New Roman" w:hint="default"/>
      </w:rPr>
    </w:lvl>
  </w:abstractNum>
  <w:abstractNum w:abstractNumId="2">
    <w:nsid w:val="38DC224A"/>
    <w:multiLevelType w:val="hybridMultilevel"/>
    <w:tmpl w:val="73109B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2235C64"/>
    <w:multiLevelType w:val="hybridMultilevel"/>
    <w:tmpl w:val="82A684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7F501E7"/>
    <w:multiLevelType w:val="hybridMultilevel"/>
    <w:tmpl w:val="31A03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9CC145B"/>
    <w:multiLevelType w:val="hybridMultilevel"/>
    <w:tmpl w:val="690C7120"/>
    <w:lvl w:ilvl="0" w:tplc="BD1E9D26">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2A"/>
    <w:rsid w:val="000E3FA7"/>
    <w:rsid w:val="00120A80"/>
    <w:rsid w:val="00387948"/>
    <w:rsid w:val="003D2148"/>
    <w:rsid w:val="004646FB"/>
    <w:rsid w:val="005266B2"/>
    <w:rsid w:val="005D66AC"/>
    <w:rsid w:val="0069464E"/>
    <w:rsid w:val="006A4F51"/>
    <w:rsid w:val="007D21D2"/>
    <w:rsid w:val="00924849"/>
    <w:rsid w:val="00A27F70"/>
    <w:rsid w:val="00A82B2A"/>
    <w:rsid w:val="00A96D03"/>
    <w:rsid w:val="00AD0679"/>
    <w:rsid w:val="00B745B6"/>
    <w:rsid w:val="00BD1959"/>
    <w:rsid w:val="00D32A09"/>
    <w:rsid w:val="00D34AB0"/>
    <w:rsid w:val="00F36DDC"/>
    <w:rsid w:val="00F60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6FB"/>
    <w:rPr>
      <w:rFonts w:ascii="Tahoma" w:hAnsi="Tahoma" w:cs="Tahoma"/>
      <w:sz w:val="16"/>
      <w:szCs w:val="16"/>
    </w:rPr>
  </w:style>
  <w:style w:type="paragraph" w:styleId="NoSpacing">
    <w:name w:val="No Spacing"/>
    <w:uiPriority w:val="99"/>
    <w:qFormat/>
    <w:rsid w:val="00BD1959"/>
    <w:pPr>
      <w:spacing w:after="0" w:line="240" w:lineRule="auto"/>
    </w:pPr>
  </w:style>
  <w:style w:type="paragraph" w:styleId="ListParagraph">
    <w:name w:val="List Paragraph"/>
    <w:basedOn w:val="Normal"/>
    <w:uiPriority w:val="34"/>
    <w:qFormat/>
    <w:rsid w:val="00BD19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6FB"/>
    <w:rPr>
      <w:rFonts w:ascii="Tahoma" w:hAnsi="Tahoma" w:cs="Tahoma"/>
      <w:sz w:val="16"/>
      <w:szCs w:val="16"/>
    </w:rPr>
  </w:style>
  <w:style w:type="paragraph" w:styleId="NoSpacing">
    <w:name w:val="No Spacing"/>
    <w:uiPriority w:val="99"/>
    <w:qFormat/>
    <w:rsid w:val="00BD1959"/>
    <w:pPr>
      <w:spacing w:after="0" w:line="240" w:lineRule="auto"/>
    </w:pPr>
  </w:style>
  <w:style w:type="paragraph" w:styleId="ListParagraph">
    <w:name w:val="List Paragraph"/>
    <w:basedOn w:val="Normal"/>
    <w:uiPriority w:val="34"/>
    <w:qFormat/>
    <w:rsid w:val="00BD1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CDEC7635</Template>
  <TotalTime>0</TotalTime>
  <Pages>5</Pages>
  <Words>1302</Words>
  <Characters>7167</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medisch centrum</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Cloos</dc:creator>
  <cp:lastModifiedBy>Cloos</cp:lastModifiedBy>
  <cp:revision>2</cp:revision>
  <dcterms:created xsi:type="dcterms:W3CDTF">2018-02-13T22:46:00Z</dcterms:created>
  <dcterms:modified xsi:type="dcterms:W3CDTF">2018-02-13T22:46:00Z</dcterms:modified>
</cp:coreProperties>
</file>